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DE7" w:rsidRPr="0050012C" w:rsidRDefault="00853DE7" w:rsidP="00853DE7">
      <w:pPr>
        <w:pStyle w:val="Bezodstpw"/>
        <w:spacing w:after="240"/>
        <w:ind w:left="0"/>
        <w:jc w:val="right"/>
        <w:rPr>
          <w:rFonts w:ascii="Verdana" w:hAnsi="Verdana"/>
          <w:i/>
        </w:rPr>
      </w:pPr>
      <w:r w:rsidRPr="0050012C">
        <w:rPr>
          <w:rFonts w:ascii="Verdana" w:hAnsi="Verdana"/>
          <w:i/>
        </w:rPr>
        <w:t>Załącznik nr 1 do SWZ</w:t>
      </w:r>
    </w:p>
    <w:p w:rsidR="00853DE7" w:rsidRPr="0050012C" w:rsidRDefault="00BC03EE" w:rsidP="00853DE7">
      <w:pPr>
        <w:pStyle w:val="Bezodstpw"/>
        <w:spacing w:after="240"/>
        <w:ind w:left="0"/>
        <w:jc w:val="center"/>
        <w:rPr>
          <w:rFonts w:ascii="Verdana" w:hAnsi="Verdana" w:cstheme="minorHAnsi"/>
        </w:rPr>
      </w:pPr>
      <w:r>
        <w:rPr>
          <w:rFonts w:ascii="Verdana" w:hAnsi="Verdana" w:cstheme="minorHAnsi"/>
        </w:rPr>
        <w:t>Znak postępowania IT.271.2</w:t>
      </w:r>
      <w:r w:rsidR="00853DE7" w:rsidRPr="0050012C">
        <w:rPr>
          <w:rFonts w:ascii="Verdana" w:hAnsi="Verdana" w:cstheme="minorHAnsi"/>
        </w:rPr>
        <w:t>.</w:t>
      </w:r>
      <w:r>
        <w:rPr>
          <w:rFonts w:ascii="Verdana" w:hAnsi="Verdana" w:cstheme="minorHAnsi"/>
        </w:rPr>
        <w:t>0</w:t>
      </w:r>
      <w:bookmarkStart w:id="0" w:name="_GoBack"/>
      <w:bookmarkEnd w:id="0"/>
      <w:r w:rsidR="00853DE7" w:rsidRPr="0050012C">
        <w:rPr>
          <w:rFonts w:ascii="Verdana" w:hAnsi="Verdana" w:cstheme="minorHAnsi"/>
        </w:rPr>
        <w:t>1.2026.MS</w:t>
      </w:r>
    </w:p>
    <w:p w:rsidR="00853DE7" w:rsidRPr="0050012C" w:rsidRDefault="00853DE7" w:rsidP="00853DE7">
      <w:pPr>
        <w:pStyle w:val="Styl1"/>
        <w:pBdr>
          <w:top w:val="single" w:sz="8" w:space="1" w:color="auto"/>
          <w:bottom w:val="single" w:sz="8" w:space="1" w:color="auto"/>
        </w:pBdr>
        <w:shd w:val="clear" w:color="auto" w:fill="auto"/>
        <w:spacing w:line="360" w:lineRule="auto"/>
        <w:rPr>
          <w:rFonts w:ascii="Verdana" w:hAnsi="Verdana" w:cstheme="minorHAnsi"/>
          <w:sz w:val="28"/>
          <w:szCs w:val="20"/>
        </w:rPr>
      </w:pPr>
      <w:r w:rsidRPr="0050012C">
        <w:rPr>
          <w:rFonts w:ascii="Verdana" w:hAnsi="Verdana" w:cstheme="minorHAnsi"/>
          <w:sz w:val="28"/>
          <w:szCs w:val="20"/>
        </w:rPr>
        <w:t>Szczegółowy Opis Przedmiotu Zamówienia</w:t>
      </w:r>
    </w:p>
    <w:p w:rsidR="00853DE7" w:rsidRPr="0050012C" w:rsidRDefault="00853DE7" w:rsidP="00853DE7">
      <w:pPr>
        <w:pStyle w:val="Bezodstpw"/>
        <w:ind w:left="0"/>
        <w:jc w:val="center"/>
        <w:rPr>
          <w:rFonts w:ascii="Verdana" w:hAnsi="Verdana" w:cstheme="minorHAnsi"/>
          <w:b/>
          <w:bCs/>
          <w:smallCaps/>
          <w:sz w:val="32"/>
          <w:szCs w:val="32"/>
        </w:rPr>
      </w:pPr>
      <w:r w:rsidRPr="0050012C">
        <w:rPr>
          <w:rFonts w:ascii="Verdana" w:eastAsiaTheme="majorEastAsia" w:hAnsi="Verdana" w:cstheme="majorBidi"/>
          <w:spacing w:val="15"/>
        </w:rPr>
        <w:t xml:space="preserve">Dotyczy zamówienia publicznego pn. </w:t>
      </w:r>
      <w:r w:rsidRPr="0050012C">
        <w:rPr>
          <w:rFonts w:ascii="Verdana" w:hAnsi="Verdana" w:cstheme="minorHAnsi"/>
          <w:b/>
          <w:bCs/>
          <w:smallCaps/>
        </w:rPr>
        <w:t>Zakup sprzętu wraz z usługami wdrożenia i szkolenia administratorów w ramach projektu „Cyberbezpieczny Samorząd”</w:t>
      </w:r>
    </w:p>
    <w:p w:rsidR="00853DE7" w:rsidRPr="0050012C" w:rsidRDefault="00853DE7" w:rsidP="00853DE7">
      <w:pPr>
        <w:numPr>
          <w:ilvl w:val="1"/>
          <w:numId w:val="0"/>
        </w:numPr>
        <w:spacing w:before="0" w:after="0"/>
        <w:contextualSpacing/>
        <w:jc w:val="both"/>
        <w:rPr>
          <w:rFonts w:ascii="Verdana" w:eastAsiaTheme="majorEastAsia" w:hAnsi="Verdana" w:cstheme="majorBidi"/>
          <w:spacing w:val="15"/>
          <w:sz w:val="20"/>
          <w:szCs w:val="20"/>
        </w:rPr>
      </w:pPr>
    </w:p>
    <w:p w:rsidR="00853DE7" w:rsidRPr="0050012C" w:rsidRDefault="00853DE7" w:rsidP="001F149C">
      <w:pPr>
        <w:pStyle w:val="Akapitzlist"/>
        <w:keepNext/>
        <w:keepLines/>
        <w:numPr>
          <w:ilvl w:val="0"/>
          <w:numId w:val="43"/>
        </w:numPr>
        <w:spacing w:before="0" w:after="0"/>
        <w:ind w:left="426" w:hanging="426"/>
        <w:jc w:val="both"/>
        <w:outlineLvl w:val="0"/>
        <w:rPr>
          <w:rFonts w:ascii="Verdana" w:eastAsiaTheme="majorEastAsia" w:hAnsi="Verdana" w:cstheme="majorBidi"/>
          <w:b/>
          <w:sz w:val="20"/>
          <w:szCs w:val="20"/>
        </w:rPr>
      </w:pPr>
      <w:r w:rsidRPr="0050012C">
        <w:rPr>
          <w:rFonts w:ascii="Verdana" w:eastAsiaTheme="majorEastAsia" w:hAnsi="Verdana" w:cstheme="majorBidi"/>
          <w:b/>
          <w:sz w:val="20"/>
          <w:szCs w:val="20"/>
        </w:rPr>
        <w:t>Ogólne warunki realizacji zamówienia</w:t>
      </w:r>
      <w:r w:rsidR="001F149C" w:rsidRPr="0050012C">
        <w:rPr>
          <w:rFonts w:ascii="Verdana" w:eastAsiaTheme="majorEastAsia" w:hAnsi="Verdana" w:cstheme="majorBidi"/>
          <w:b/>
          <w:sz w:val="20"/>
          <w:szCs w:val="20"/>
        </w:rPr>
        <w:t>:</w:t>
      </w:r>
    </w:p>
    <w:p w:rsidR="00853DE7" w:rsidRPr="0050012C" w:rsidRDefault="00853DE7" w:rsidP="00853DE7">
      <w:pPr>
        <w:numPr>
          <w:ilvl w:val="0"/>
          <w:numId w:val="34"/>
        </w:numPr>
        <w:spacing w:before="0" w:after="0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Przedmiot zamówienia obejmuje dostawy do siedziby Zamawiającego, tj. Urzędu Gminy Stary Brus w zakresie i ilościach wskazanych w zestawieniu rzeczowo – ilościowym.</w:t>
      </w:r>
    </w:p>
    <w:p w:rsidR="00853DE7" w:rsidRPr="0050012C" w:rsidRDefault="00853DE7" w:rsidP="00853DE7">
      <w:pPr>
        <w:numPr>
          <w:ilvl w:val="0"/>
          <w:numId w:val="34"/>
        </w:numPr>
        <w:spacing w:before="0" w:after="0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Dostarczany sprzęt i oprogramowanie muszą być fabrycznie nowe, nieużywane, nieuszkodzone i nieobciążone prawami osób trzecich.</w:t>
      </w:r>
    </w:p>
    <w:p w:rsidR="00853DE7" w:rsidRPr="0050012C" w:rsidRDefault="00853DE7" w:rsidP="00853DE7">
      <w:pPr>
        <w:numPr>
          <w:ilvl w:val="0"/>
          <w:numId w:val="34"/>
        </w:numPr>
        <w:spacing w:before="0" w:after="0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Oferowane urządzenia w dniu składania ofert nie mogą być przeznaczone przez producenta do wycofania z produkcji (tzw. End of Life).</w:t>
      </w:r>
    </w:p>
    <w:p w:rsidR="00853DE7" w:rsidRPr="0050012C" w:rsidRDefault="00853DE7" w:rsidP="00853DE7">
      <w:pPr>
        <w:numPr>
          <w:ilvl w:val="0"/>
          <w:numId w:val="34"/>
        </w:numPr>
        <w:spacing w:before="0" w:after="0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Dostarczany sprzęt i oprogramowanie muszą pochodzić z oficjalnego kanału dystrybucyjnego w UE.</w:t>
      </w:r>
    </w:p>
    <w:p w:rsidR="00853DE7" w:rsidRPr="0050012C" w:rsidRDefault="00853DE7" w:rsidP="00853DE7">
      <w:pPr>
        <w:numPr>
          <w:ilvl w:val="0"/>
          <w:numId w:val="34"/>
        </w:numPr>
        <w:spacing w:before="0" w:after="0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Wykonawca zapewni takie opakowanie sprzętu jakie jest wymagane, żeby nie dopuścić do jego uszkodzenia lub pogorszenia jego jakości w trakcie transportu do miejsca dostawy.</w:t>
      </w:r>
    </w:p>
    <w:p w:rsidR="00853DE7" w:rsidRPr="0050012C" w:rsidRDefault="00853DE7" w:rsidP="00853DE7">
      <w:pPr>
        <w:numPr>
          <w:ilvl w:val="0"/>
          <w:numId w:val="34"/>
        </w:numPr>
        <w:spacing w:before="0" w:after="0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Sprzęt będzie oznaczony zgodnie z obowiązującymi przepisami, a w szczególności znakami bezpieczeństwa.</w:t>
      </w:r>
    </w:p>
    <w:p w:rsidR="00853DE7" w:rsidRPr="0050012C" w:rsidRDefault="00853DE7" w:rsidP="00853DE7">
      <w:pPr>
        <w:numPr>
          <w:ilvl w:val="0"/>
          <w:numId w:val="34"/>
        </w:numPr>
        <w:spacing w:before="0" w:after="0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Zamawiający dopuszcza rozwiązania równoważne. Ogólne zasady równoważności rozwiązań:</w:t>
      </w:r>
    </w:p>
    <w:p w:rsidR="00853DE7" w:rsidRPr="0050012C" w:rsidRDefault="00853DE7" w:rsidP="00853DE7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Za równoważne do wyspecyfikowanego rozwiązania Zamawiający uzna rozwiązanie o tym samym przeznaczeniu, cechach technicznych, jakościowych i funkcjonalnych odpowiadających cechom technicznym, jakościowym i funkcjonalnym wskazanych w opisie przedmiotu zamówienia, lub lepszych, oznaczonych innym znakiem towarowym, patentem lub pochodzeniem.</w:t>
      </w:r>
    </w:p>
    <w:p w:rsidR="00853DE7" w:rsidRPr="0050012C" w:rsidRDefault="00853DE7" w:rsidP="00853DE7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Rozwiązanie równoważne musi pozwalać na zrealizowanie zakładanego przez Zamawiającego celu poprzez parametry wydajnościowe i funkcjonalne, mające wpływ na skuteczność działania, takie same lub lepsze od wskazanych wymagań minimalnych.</w:t>
      </w:r>
    </w:p>
    <w:p w:rsidR="00853DE7" w:rsidRPr="0050012C" w:rsidRDefault="00853DE7" w:rsidP="00853DE7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Użycie w opisie przedmiotu zamówienia nazw rozwiązań, materiałów i urządzeń służy ustaleniu minimalnego standardu wykonania i określenia właściwości i wymogów technicznych założonych w dokumentacji technicznej dla projektowanych rozwiązań.</w:t>
      </w:r>
    </w:p>
    <w:p w:rsidR="00853DE7" w:rsidRPr="0050012C" w:rsidRDefault="00853DE7" w:rsidP="00853DE7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Wykonawca zobligowany jest do wykazania, że oferowane rozwiązania równoważne spełnią zakładane wymagania minimalne.</w:t>
      </w:r>
    </w:p>
    <w:p w:rsidR="00853DE7" w:rsidRPr="0050012C" w:rsidRDefault="00853DE7" w:rsidP="00853DE7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lastRenderedPageBreak/>
        <w:t>Brak określenia „minimum” oznacza wymaganie na poziomie minimalnym, a Wykonawca może zaoferować rozwiązanie o lepszych parametrach.</w:t>
      </w:r>
    </w:p>
    <w:p w:rsidR="00853DE7" w:rsidRPr="0050012C" w:rsidRDefault="00853DE7" w:rsidP="00853DE7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W celu zachowania zasad neutralności technologicznej i konkurencyjności dopuszcza się rozwiązania równoważne do wyspecyfikowanych, przy czym za rozwiązanie równoważne uważa się takie rozwiązanie, które pod względem technologii, wydajności i funkcjonalności nie odbiega lub jest lepsze od technologii funkcjonalności i wydajności wyszczególnionych w rozwiązaniu wyspecyfikowanym.</w:t>
      </w:r>
    </w:p>
    <w:p w:rsidR="00853DE7" w:rsidRPr="0050012C" w:rsidRDefault="00853DE7" w:rsidP="00853DE7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Nie podlegają porównaniu cechy rozwiązania właściwe wyłącznie dla rozwiązania wyspecyfikowanego, takie jak: zastrzeżone patenty, własnościowe rozwiązania technologiczne, własnościowe protokoły itp., a jedynie te, które stanowią o istocie całości zakładanych rozwiązań technologicznych i posiadają odniesienie w rozwiązaniu równoważnym. W związku z tym, Wykonawca może zaproponować rozwiązania, które realizują takie same funkcjonalności wyspecyfikowane przez Zamawiającego w inny, niż podany sposób.</w:t>
      </w:r>
    </w:p>
    <w:p w:rsidR="00853DE7" w:rsidRPr="0050012C" w:rsidRDefault="00853DE7" w:rsidP="00853DE7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Przez bardzo zbliżoną (podobną) wartość użytkową rozumie się podobne, z dopuszczeniem nieznacznych różnic niewpływających w żadnym stopniu na całokształt systemu, zachowanie oraz realizowanie podobnych funkcjonalności w danych warunkach, dla których to warunków rozwiązania te są dedykowane. Rozwiązanie równoważne musi zawierać dokumentację potwierdzającą, że spełnia wymagania funkcjonalne Zamawiającego, w tym wyniki porównań, testów czy możliwości oferowanych przez to rozwiązanie w odniesieniu do rozwiązania wyspecyfikowanego.</w:t>
      </w:r>
    </w:p>
    <w:p w:rsidR="00853DE7" w:rsidRPr="0050012C" w:rsidRDefault="00853DE7" w:rsidP="00853DE7">
      <w:pPr>
        <w:numPr>
          <w:ilvl w:val="1"/>
          <w:numId w:val="35"/>
        </w:numPr>
        <w:spacing w:before="0" w:after="0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 xml:space="preserve">Dodatkowo, wszędzie tam, gdzie zostało wskazane pochodzenie (marka, znak towarowy, producent, dostawca itp.) materiałów lub normy, aprobaty, specyfikacje i systemy, o których mowa w ustawie Prawo Zamówień Publicznych (zwana dalej ustawą), Zamawiający dopuszcza oferowanie sprzętu lub rozwiązań równoważnych pod warunkiem, że zapewnią uzyskanie parametrów technicznych takich samych lub lepszych niż wymagane przez Zamawiającego w dokumentacji przetargowej. Zamawiający dopuszcza oferowanie materiałów lub urządzeń równoważnych. Materiały lub urządzenia pochodzące od konkretnych producentów określają minimalne parametry jakościowe i cechy użytkowe, a także jakościowe (m.in.: wymiary, skład, zastosowany materiał, kolor, odcień, przeznaczenie materiałów i urządzeń, estetyka itp.) jakim muszą odpowiadać materiały lub urządzenia oferowane przez Wykonawcę, aby zostały spełnione wymagania stawiane przez Zamawiającego. Operowanie przykładowymi nazwami producenta ma jedynie na celu doprecyzowanie poziomu oczekiwań Zamawiającego w stosunku do określonego rozwiązania. Posługiwanie się nazwami producentów / produktów ma wyłącznie charakter przykładowy. Zamawiający, wskazując oznaczenie konkretnego producenta (dostawcy), konkretny produkt lub </w:t>
      </w:r>
      <w:r w:rsidRPr="0050012C">
        <w:rPr>
          <w:rFonts w:ascii="Verdana" w:hAnsi="Verdana"/>
          <w:sz w:val="20"/>
          <w:szCs w:val="20"/>
        </w:rPr>
        <w:lastRenderedPageBreak/>
        <w:t>materiały przy opisie przedmiotu zamówienia, dopuszcza jednocześnie produkty równoważne o parametrach jakościowych i cechach użytkowych co najmniej na poziomie parametrów wskazanego produktu, uznając tym samym każdy produkt o wskazanych lub lepszych parametrach. Zamawiający opisując przedmiot zamówienia przy pomocy określonych norm, aprobat czy specyfikacji technicznych i systemów odniesienia dopuszcza rozwiązania równoważne opisywanym. Wykonawca, który powołuje się na rozwiązania równoważne opisywanym przez Zamawiającego, jest obowiązany wykazać, że oferowane przez niego dostawy spełniają wymagania określone przez Zamawiającego. W takiej sytuacji Zamawiający wymaga złożenia stosownych dokumentów uwiarygodniających te rozwiązania.</w:t>
      </w:r>
    </w:p>
    <w:p w:rsidR="00853DE7" w:rsidRPr="0050012C" w:rsidRDefault="00853DE7" w:rsidP="00853DE7">
      <w:pPr>
        <w:spacing w:before="0" w:after="0"/>
        <w:jc w:val="both"/>
        <w:rPr>
          <w:rFonts w:ascii="Verdana" w:hAnsi="Verdana"/>
          <w:sz w:val="20"/>
          <w:szCs w:val="20"/>
        </w:rPr>
      </w:pPr>
    </w:p>
    <w:p w:rsidR="00853DE7" w:rsidRPr="0050012C" w:rsidRDefault="00853DE7" w:rsidP="001F149C">
      <w:pPr>
        <w:pStyle w:val="Nagwek2"/>
        <w:numPr>
          <w:ilvl w:val="0"/>
          <w:numId w:val="43"/>
        </w:numPr>
        <w:spacing w:before="0" w:after="0" w:line="360" w:lineRule="auto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Zestawienie rzeczowo – ilościowe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207"/>
        <w:gridCol w:w="1123"/>
      </w:tblGrid>
      <w:tr w:rsidR="00853DE7" w:rsidRPr="0050012C" w:rsidTr="001F149C">
        <w:trPr>
          <w:trHeight w:val="397"/>
        </w:trPr>
        <w:tc>
          <w:tcPr>
            <w:tcW w:w="7207" w:type="dxa"/>
            <w:vAlign w:val="center"/>
          </w:tcPr>
          <w:p w:rsidR="00853DE7" w:rsidRPr="0050012C" w:rsidRDefault="00853DE7" w:rsidP="001F149C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Przedmiot dostawy/usługi</w:t>
            </w:r>
          </w:p>
        </w:tc>
        <w:tc>
          <w:tcPr>
            <w:tcW w:w="1123" w:type="dxa"/>
            <w:vAlign w:val="center"/>
          </w:tcPr>
          <w:p w:rsidR="00853DE7" w:rsidRPr="0050012C" w:rsidRDefault="00853DE7" w:rsidP="001F149C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Ilość</w:t>
            </w:r>
          </w:p>
        </w:tc>
      </w:tr>
      <w:tr w:rsidR="00853DE7" w:rsidRPr="0050012C" w:rsidTr="001F149C">
        <w:trPr>
          <w:trHeight w:val="397"/>
        </w:trPr>
        <w:tc>
          <w:tcPr>
            <w:tcW w:w="7207" w:type="dxa"/>
            <w:vAlign w:val="center"/>
          </w:tcPr>
          <w:p w:rsidR="00853DE7" w:rsidRPr="0050012C" w:rsidRDefault="00853DE7" w:rsidP="001F149C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Zakup UTM</w:t>
            </w:r>
          </w:p>
        </w:tc>
        <w:tc>
          <w:tcPr>
            <w:tcW w:w="1123" w:type="dxa"/>
            <w:vAlign w:val="center"/>
          </w:tcPr>
          <w:p w:rsidR="00853DE7" w:rsidRPr="0050012C" w:rsidRDefault="00853DE7" w:rsidP="001F149C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853DE7" w:rsidRPr="0050012C" w:rsidTr="001F149C">
        <w:trPr>
          <w:trHeight w:val="397"/>
        </w:trPr>
        <w:tc>
          <w:tcPr>
            <w:tcW w:w="7207" w:type="dxa"/>
            <w:vAlign w:val="center"/>
          </w:tcPr>
          <w:p w:rsidR="00853DE7" w:rsidRPr="0050012C" w:rsidRDefault="00853DE7" w:rsidP="001F149C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Zakup serwera NAS</w:t>
            </w:r>
          </w:p>
        </w:tc>
        <w:tc>
          <w:tcPr>
            <w:tcW w:w="1123" w:type="dxa"/>
            <w:vAlign w:val="center"/>
          </w:tcPr>
          <w:p w:rsidR="00853DE7" w:rsidRPr="0050012C" w:rsidRDefault="00853DE7" w:rsidP="001F149C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853DE7" w:rsidRPr="0050012C" w:rsidTr="001F149C">
        <w:trPr>
          <w:trHeight w:val="397"/>
        </w:trPr>
        <w:tc>
          <w:tcPr>
            <w:tcW w:w="7207" w:type="dxa"/>
            <w:vAlign w:val="center"/>
          </w:tcPr>
          <w:p w:rsidR="00853DE7" w:rsidRPr="0050012C" w:rsidRDefault="00853DE7" w:rsidP="001F149C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Zakup serwera do archiwizacji</w:t>
            </w:r>
          </w:p>
        </w:tc>
        <w:tc>
          <w:tcPr>
            <w:tcW w:w="1123" w:type="dxa"/>
            <w:vAlign w:val="center"/>
          </w:tcPr>
          <w:p w:rsidR="00853DE7" w:rsidRPr="0050012C" w:rsidRDefault="00853DE7" w:rsidP="001F149C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853DE7" w:rsidRPr="0050012C" w:rsidTr="001F149C">
        <w:trPr>
          <w:trHeight w:val="397"/>
        </w:trPr>
        <w:tc>
          <w:tcPr>
            <w:tcW w:w="7207" w:type="dxa"/>
            <w:vAlign w:val="center"/>
          </w:tcPr>
          <w:p w:rsidR="00853DE7" w:rsidRPr="0050012C" w:rsidRDefault="00853DE7" w:rsidP="001F149C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Zakup oprogramowania do backupu</w:t>
            </w:r>
          </w:p>
        </w:tc>
        <w:tc>
          <w:tcPr>
            <w:tcW w:w="1123" w:type="dxa"/>
            <w:vAlign w:val="center"/>
          </w:tcPr>
          <w:p w:rsidR="00853DE7" w:rsidRPr="0050012C" w:rsidRDefault="00853DE7" w:rsidP="001F149C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853DE7" w:rsidRPr="0050012C" w:rsidTr="001F149C">
        <w:trPr>
          <w:trHeight w:val="397"/>
        </w:trPr>
        <w:tc>
          <w:tcPr>
            <w:tcW w:w="7207" w:type="dxa"/>
            <w:vAlign w:val="center"/>
          </w:tcPr>
          <w:p w:rsidR="00853DE7" w:rsidRPr="0050012C" w:rsidRDefault="00853DE7" w:rsidP="001F149C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Zakup UPS serwerowego</w:t>
            </w:r>
          </w:p>
        </w:tc>
        <w:tc>
          <w:tcPr>
            <w:tcW w:w="1123" w:type="dxa"/>
            <w:vAlign w:val="center"/>
          </w:tcPr>
          <w:p w:rsidR="00853DE7" w:rsidRPr="0050012C" w:rsidRDefault="00853DE7" w:rsidP="001F149C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853DE7" w:rsidRPr="0050012C" w:rsidTr="001F149C">
        <w:trPr>
          <w:trHeight w:val="397"/>
        </w:trPr>
        <w:tc>
          <w:tcPr>
            <w:tcW w:w="7207" w:type="dxa"/>
            <w:vAlign w:val="center"/>
            <w:hideMark/>
          </w:tcPr>
          <w:p w:rsidR="00853DE7" w:rsidRPr="0050012C" w:rsidRDefault="00853DE7" w:rsidP="001F149C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bookmarkStart w:id="1" w:name="_Hlk217142171"/>
            <w:r w:rsidRPr="0050012C">
              <w:rPr>
                <w:rFonts w:ascii="Verdana" w:hAnsi="Verdana"/>
                <w:sz w:val="20"/>
                <w:szCs w:val="20"/>
              </w:rPr>
              <w:t>Zakup usług wdrożenia zakupionych rozwiązań</w:t>
            </w:r>
          </w:p>
        </w:tc>
        <w:tc>
          <w:tcPr>
            <w:tcW w:w="1123" w:type="dxa"/>
            <w:vAlign w:val="center"/>
            <w:hideMark/>
          </w:tcPr>
          <w:p w:rsidR="00853DE7" w:rsidRPr="0050012C" w:rsidRDefault="00853DE7" w:rsidP="001F149C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bookmarkEnd w:id="1"/>
      <w:tr w:rsidR="00853DE7" w:rsidRPr="0050012C" w:rsidTr="001F149C">
        <w:trPr>
          <w:trHeight w:val="397"/>
        </w:trPr>
        <w:tc>
          <w:tcPr>
            <w:tcW w:w="7207" w:type="dxa"/>
            <w:vAlign w:val="center"/>
          </w:tcPr>
          <w:p w:rsidR="00853DE7" w:rsidRPr="0050012C" w:rsidRDefault="00853DE7" w:rsidP="001F149C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Zakup usług szkolenia administratora IT</w:t>
            </w:r>
          </w:p>
        </w:tc>
        <w:tc>
          <w:tcPr>
            <w:tcW w:w="1123" w:type="dxa"/>
            <w:vAlign w:val="center"/>
          </w:tcPr>
          <w:p w:rsidR="00853DE7" w:rsidRPr="0050012C" w:rsidRDefault="00853DE7" w:rsidP="001F149C">
            <w:pPr>
              <w:spacing w:before="0" w:after="0" w:line="240" w:lineRule="auto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</w:tbl>
    <w:p w:rsidR="00853DE7" w:rsidRPr="0050012C" w:rsidRDefault="00853DE7" w:rsidP="00853DE7">
      <w:pPr>
        <w:spacing w:before="0" w:after="0"/>
        <w:jc w:val="both"/>
        <w:rPr>
          <w:rFonts w:ascii="Verdana" w:hAnsi="Verdana"/>
          <w:sz w:val="20"/>
          <w:szCs w:val="20"/>
        </w:rPr>
      </w:pPr>
    </w:p>
    <w:p w:rsidR="001F149C" w:rsidRPr="0050012C" w:rsidRDefault="001F149C" w:rsidP="001F149C">
      <w:pPr>
        <w:pStyle w:val="Numeracja"/>
        <w:keepNext/>
        <w:numPr>
          <w:ilvl w:val="0"/>
          <w:numId w:val="43"/>
        </w:numPr>
        <w:rPr>
          <w:sz w:val="20"/>
        </w:rPr>
      </w:pPr>
      <w:r w:rsidRPr="0050012C">
        <w:rPr>
          <w:sz w:val="20"/>
        </w:rPr>
        <w:t>Nomenklatura Wspólnego Słownika Zamówień  - Nazwy i Kody CPV:</w:t>
      </w:r>
    </w:p>
    <w:p w:rsidR="001F149C" w:rsidRPr="0050012C" w:rsidRDefault="001F149C" w:rsidP="001F149C">
      <w:pPr>
        <w:spacing w:before="0" w:after="0"/>
        <w:rPr>
          <w:rFonts w:ascii="Verdana" w:hAnsi="Verdana"/>
          <w:sz w:val="20"/>
        </w:rPr>
      </w:pPr>
      <w:r w:rsidRPr="0050012C">
        <w:rPr>
          <w:rFonts w:ascii="Verdana" w:hAnsi="Verdana"/>
          <w:sz w:val="20"/>
        </w:rPr>
        <w:t>Główny kod CPV:  48820000-2 Serwery</w:t>
      </w:r>
    </w:p>
    <w:p w:rsidR="001F149C" w:rsidRPr="0050012C" w:rsidRDefault="001F149C" w:rsidP="001F149C">
      <w:pPr>
        <w:spacing w:before="0" w:after="0"/>
        <w:rPr>
          <w:rFonts w:ascii="Verdana" w:hAnsi="Verdana"/>
          <w:sz w:val="20"/>
        </w:rPr>
      </w:pPr>
      <w:r w:rsidRPr="0050012C">
        <w:rPr>
          <w:rFonts w:ascii="Verdana" w:hAnsi="Verdana"/>
          <w:sz w:val="20"/>
        </w:rPr>
        <w:t>Dodatkowy kod CPV:</w:t>
      </w:r>
    </w:p>
    <w:p w:rsidR="001F149C" w:rsidRPr="0050012C" w:rsidRDefault="001F149C" w:rsidP="001F149C">
      <w:pPr>
        <w:spacing w:before="0" w:after="0"/>
        <w:rPr>
          <w:rFonts w:ascii="Verdana" w:hAnsi="Verdana"/>
          <w:sz w:val="20"/>
        </w:rPr>
      </w:pPr>
      <w:r w:rsidRPr="0050012C">
        <w:rPr>
          <w:rFonts w:ascii="Verdana" w:hAnsi="Verdana"/>
          <w:sz w:val="20"/>
        </w:rPr>
        <w:t>30233000-1 Urządzenie do przechowywania i odczytu danych</w:t>
      </w:r>
    </w:p>
    <w:p w:rsidR="001F149C" w:rsidRPr="0050012C" w:rsidRDefault="001F149C" w:rsidP="001F149C">
      <w:pPr>
        <w:spacing w:before="0" w:after="0"/>
        <w:rPr>
          <w:rFonts w:ascii="Verdana" w:hAnsi="Verdana"/>
          <w:sz w:val="20"/>
        </w:rPr>
      </w:pPr>
      <w:bookmarkStart w:id="2" w:name="_Hlk173075405"/>
      <w:r w:rsidRPr="0050012C">
        <w:rPr>
          <w:rFonts w:ascii="Verdana" w:hAnsi="Verdana"/>
          <w:sz w:val="20"/>
        </w:rPr>
        <w:t>32420000-3 Urządzenie sieciowe</w:t>
      </w:r>
    </w:p>
    <w:p w:rsidR="001F149C" w:rsidRPr="0050012C" w:rsidRDefault="001F149C" w:rsidP="001F149C">
      <w:pPr>
        <w:spacing w:before="0" w:after="0"/>
        <w:rPr>
          <w:rFonts w:ascii="Verdana" w:hAnsi="Verdana"/>
          <w:sz w:val="20"/>
        </w:rPr>
      </w:pPr>
      <w:r w:rsidRPr="0050012C">
        <w:rPr>
          <w:rFonts w:ascii="Verdana" w:hAnsi="Verdana"/>
          <w:sz w:val="20"/>
        </w:rPr>
        <w:t>35120000-1 Systemy i urządzenia nadzoru i bezpieczeństwa</w:t>
      </w:r>
    </w:p>
    <w:p w:rsidR="001F149C" w:rsidRPr="0050012C" w:rsidRDefault="001F149C" w:rsidP="001F149C">
      <w:pPr>
        <w:spacing w:before="0" w:after="0"/>
        <w:rPr>
          <w:rFonts w:ascii="Verdana" w:hAnsi="Verdana"/>
          <w:sz w:val="20"/>
        </w:rPr>
      </w:pPr>
      <w:r w:rsidRPr="0050012C">
        <w:rPr>
          <w:rFonts w:ascii="Verdana" w:hAnsi="Verdana"/>
          <w:sz w:val="20"/>
        </w:rPr>
        <w:t>31682530-4 Awaryjne urządzenia energetyczne</w:t>
      </w:r>
    </w:p>
    <w:bookmarkEnd w:id="2"/>
    <w:p w:rsidR="001F149C" w:rsidRPr="0050012C" w:rsidRDefault="001F149C" w:rsidP="001F149C">
      <w:pPr>
        <w:spacing w:before="0" w:after="0"/>
        <w:rPr>
          <w:rFonts w:ascii="Verdana" w:hAnsi="Verdana"/>
          <w:sz w:val="20"/>
        </w:rPr>
      </w:pPr>
      <w:r w:rsidRPr="0050012C">
        <w:rPr>
          <w:rFonts w:ascii="Verdana" w:hAnsi="Verdana"/>
          <w:sz w:val="20"/>
        </w:rPr>
        <w:t>48000000-8 Pakiety oprogramowania i systemy informatyczne</w:t>
      </w:r>
    </w:p>
    <w:p w:rsidR="001F149C" w:rsidRPr="0050012C" w:rsidRDefault="001F149C" w:rsidP="001F149C">
      <w:pPr>
        <w:spacing w:before="0" w:after="0"/>
        <w:rPr>
          <w:rFonts w:ascii="Verdana" w:hAnsi="Verdana"/>
          <w:sz w:val="20"/>
        </w:rPr>
      </w:pPr>
      <w:r w:rsidRPr="0050012C">
        <w:rPr>
          <w:rFonts w:ascii="Verdana" w:hAnsi="Verdana"/>
          <w:sz w:val="20"/>
        </w:rPr>
        <w:t>48422000-2 Zestawy pakietów oprogramowania</w:t>
      </w:r>
    </w:p>
    <w:p w:rsidR="001F149C" w:rsidRPr="0050012C" w:rsidRDefault="001F149C" w:rsidP="001F149C">
      <w:pPr>
        <w:spacing w:before="0" w:after="0"/>
        <w:rPr>
          <w:rFonts w:ascii="Verdana" w:hAnsi="Verdana"/>
          <w:sz w:val="20"/>
        </w:rPr>
      </w:pPr>
      <w:r w:rsidRPr="0050012C">
        <w:rPr>
          <w:rFonts w:ascii="Verdana" w:hAnsi="Verdana"/>
          <w:sz w:val="20"/>
        </w:rPr>
        <w:t>48600000-4 Pakiety oprogramowania dla baz danych i operacyjne</w:t>
      </w:r>
    </w:p>
    <w:p w:rsidR="001F149C" w:rsidRPr="0050012C" w:rsidRDefault="001F149C" w:rsidP="001F149C">
      <w:pPr>
        <w:spacing w:before="0" w:after="0"/>
        <w:rPr>
          <w:rFonts w:ascii="Verdana" w:hAnsi="Verdana"/>
          <w:sz w:val="20"/>
        </w:rPr>
      </w:pPr>
      <w:r w:rsidRPr="0050012C">
        <w:rPr>
          <w:rFonts w:ascii="Verdana" w:hAnsi="Verdana"/>
          <w:sz w:val="20"/>
        </w:rPr>
        <w:t>48900000-7 Różne pakiety oprogramowania i systemy komputerowe</w:t>
      </w:r>
    </w:p>
    <w:p w:rsidR="001F149C" w:rsidRPr="0050012C" w:rsidRDefault="001F149C" w:rsidP="001F149C">
      <w:pPr>
        <w:spacing w:before="0" w:after="0"/>
        <w:rPr>
          <w:rFonts w:ascii="Verdana" w:hAnsi="Verdana"/>
          <w:sz w:val="20"/>
        </w:rPr>
      </w:pPr>
      <w:r w:rsidRPr="0050012C">
        <w:rPr>
          <w:rFonts w:ascii="Verdana" w:hAnsi="Verdana"/>
          <w:sz w:val="20"/>
        </w:rPr>
        <w:t>72263000-6 Usługi wdrażania oprogramowania</w:t>
      </w:r>
    </w:p>
    <w:p w:rsidR="001F149C" w:rsidRPr="0050012C" w:rsidRDefault="001F149C" w:rsidP="001F149C">
      <w:pPr>
        <w:spacing w:before="0" w:after="0"/>
        <w:rPr>
          <w:rFonts w:ascii="Verdana" w:hAnsi="Verdana"/>
          <w:sz w:val="20"/>
        </w:rPr>
      </w:pPr>
      <w:r w:rsidRPr="0050012C">
        <w:rPr>
          <w:rFonts w:ascii="Verdana" w:hAnsi="Verdana"/>
          <w:sz w:val="20"/>
        </w:rPr>
        <w:t>80510000-2 Usługi szkolenia specjalistycznego</w:t>
      </w:r>
    </w:p>
    <w:p w:rsidR="001F149C" w:rsidRPr="0050012C" w:rsidRDefault="001F149C" w:rsidP="001F149C">
      <w:pPr>
        <w:spacing w:before="0" w:after="0"/>
        <w:rPr>
          <w:rFonts w:ascii="Verdana" w:hAnsi="Verdana"/>
          <w:sz w:val="20"/>
        </w:rPr>
      </w:pPr>
      <w:r w:rsidRPr="0050012C">
        <w:rPr>
          <w:rFonts w:ascii="Verdana" w:hAnsi="Verdana"/>
          <w:sz w:val="20"/>
        </w:rPr>
        <w:t>80531200-7 Usługi szkolenia technicznego</w:t>
      </w:r>
    </w:p>
    <w:p w:rsidR="00853DE7" w:rsidRPr="0050012C" w:rsidRDefault="00853DE7" w:rsidP="00853DE7">
      <w:pPr>
        <w:spacing w:before="0" w:after="0"/>
        <w:jc w:val="both"/>
        <w:rPr>
          <w:rFonts w:ascii="Verdana" w:hAnsi="Verdana"/>
          <w:sz w:val="20"/>
          <w:szCs w:val="20"/>
        </w:rPr>
      </w:pPr>
    </w:p>
    <w:p w:rsidR="00853DE7" w:rsidRPr="0050012C" w:rsidRDefault="001F149C" w:rsidP="001F149C">
      <w:pPr>
        <w:pStyle w:val="Nagwek1"/>
        <w:numPr>
          <w:ilvl w:val="0"/>
          <w:numId w:val="43"/>
        </w:numPr>
        <w:spacing w:before="0" w:after="0" w:line="360" w:lineRule="auto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lastRenderedPageBreak/>
        <w:t>Szczegółowe warunki dostawy:</w:t>
      </w:r>
    </w:p>
    <w:p w:rsidR="001F149C" w:rsidRPr="0050012C" w:rsidRDefault="001F149C" w:rsidP="000369DB">
      <w:pPr>
        <w:pStyle w:val="numeracja2"/>
      </w:pPr>
      <w:r w:rsidRPr="0050012C">
        <w:t>Zakup UTM</w:t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2263"/>
        <w:gridCol w:w="7626"/>
      </w:tblGrid>
      <w:tr w:rsidR="00853DE7" w:rsidRPr="0050012C" w:rsidTr="001F149C">
        <w:tc>
          <w:tcPr>
            <w:tcW w:w="2263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0012C">
              <w:rPr>
                <w:rFonts w:ascii="Verdana" w:hAnsi="Verdana"/>
                <w:b/>
                <w:sz w:val="20"/>
                <w:szCs w:val="20"/>
              </w:rPr>
              <w:t>Obszar wymagań</w:t>
            </w:r>
          </w:p>
        </w:tc>
        <w:tc>
          <w:tcPr>
            <w:tcW w:w="7626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0012C">
              <w:rPr>
                <w:rFonts w:ascii="Verdana" w:hAnsi="Verdana"/>
                <w:b/>
                <w:sz w:val="20"/>
                <w:szCs w:val="20"/>
              </w:rPr>
              <w:t>Wymagania minimalne</w:t>
            </w:r>
          </w:p>
        </w:tc>
      </w:tr>
      <w:tr w:rsidR="00853DE7" w:rsidRPr="0050012C" w:rsidTr="001F149C">
        <w:tc>
          <w:tcPr>
            <w:tcW w:w="2263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Wymagania ogólne</w:t>
            </w:r>
          </w:p>
        </w:tc>
        <w:tc>
          <w:tcPr>
            <w:tcW w:w="7626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Dostarczony system bezpieczeństwa musi zapewniać wszystkie wymienione poniżej funkcje sieciowe i  bezpieczeństwa niezależnie od dostawcy łącza.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System realizujący funkcję firewall musi dawać możliwość pracy w jednym z trzech trybów: routera z funkcją NAT, transparentnym oraz monitorowania na porcie SPAN.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System musi wspierać IPv4 oraz IPv6 w zakresie: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•</w:t>
            </w:r>
            <w:r w:rsidRPr="0050012C">
              <w:rPr>
                <w:rFonts w:ascii="Verdana" w:hAnsi="Verdana"/>
                <w:bCs/>
                <w:sz w:val="20"/>
                <w:szCs w:val="20"/>
              </w:rPr>
              <w:tab/>
              <w:t>Firewall.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•</w:t>
            </w:r>
            <w:r w:rsidRPr="0050012C">
              <w:rPr>
                <w:rFonts w:ascii="Verdana" w:hAnsi="Verdana"/>
                <w:bCs/>
                <w:sz w:val="20"/>
                <w:szCs w:val="20"/>
              </w:rPr>
              <w:tab/>
              <w:t>Ochrony w warstwie aplikacji.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•</w:t>
            </w:r>
            <w:r w:rsidRPr="0050012C">
              <w:rPr>
                <w:rFonts w:ascii="Verdana" w:hAnsi="Verdana"/>
                <w:bCs/>
                <w:sz w:val="20"/>
                <w:szCs w:val="20"/>
              </w:rPr>
              <w:tab/>
              <w:t>Protokołów routingu dynamicznego.</w:t>
            </w:r>
          </w:p>
        </w:tc>
      </w:tr>
      <w:tr w:rsidR="00853DE7" w:rsidRPr="0050012C" w:rsidTr="001F149C">
        <w:tc>
          <w:tcPr>
            <w:tcW w:w="2263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Redundancja, monitoring i wykrywanie awarii</w:t>
            </w:r>
          </w:p>
        </w:tc>
        <w:tc>
          <w:tcPr>
            <w:tcW w:w="7626" w:type="dxa"/>
            <w:shd w:val="clear" w:color="auto" w:fill="auto"/>
          </w:tcPr>
          <w:p w:rsidR="00853DE7" w:rsidRPr="0050012C" w:rsidRDefault="00853DE7" w:rsidP="001F149C">
            <w:pPr>
              <w:numPr>
                <w:ilvl w:val="0"/>
                <w:numId w:val="16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Dla funkcji: firewall,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IPSec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, kontrola aplikacji oraz IPS – musi istnieć możliwość łączenia w klaster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active-active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 lub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active-passive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. W obu trybach powinna istnieć funkcja synchronizacji sesji firewall. </w:t>
            </w:r>
          </w:p>
          <w:p w:rsidR="00853DE7" w:rsidRPr="0050012C" w:rsidRDefault="00853DE7" w:rsidP="001F149C">
            <w:pPr>
              <w:numPr>
                <w:ilvl w:val="0"/>
                <w:numId w:val="16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Monitoring i wykrywanie uszkodzenia elementów sprzętowych i programowych systemów zabezpieczeń oraz łączy sieciowych.</w:t>
            </w:r>
          </w:p>
          <w:p w:rsidR="00853DE7" w:rsidRPr="0050012C" w:rsidRDefault="00853DE7" w:rsidP="001F149C">
            <w:pPr>
              <w:numPr>
                <w:ilvl w:val="0"/>
                <w:numId w:val="16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Monitoring stanu realizowanych połączeń VPN.</w:t>
            </w:r>
          </w:p>
        </w:tc>
      </w:tr>
      <w:tr w:rsidR="00853DE7" w:rsidRPr="0050012C" w:rsidTr="001F149C">
        <w:tc>
          <w:tcPr>
            <w:tcW w:w="2263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Interfejsy, przestrzeń dyskowa</w:t>
            </w:r>
          </w:p>
        </w:tc>
        <w:tc>
          <w:tcPr>
            <w:tcW w:w="7626" w:type="dxa"/>
            <w:shd w:val="clear" w:color="auto" w:fill="auto"/>
          </w:tcPr>
          <w:p w:rsidR="00853DE7" w:rsidRPr="0050012C" w:rsidRDefault="00853DE7" w:rsidP="001F149C">
            <w:pPr>
              <w:numPr>
                <w:ilvl w:val="3"/>
                <w:numId w:val="16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System realizujący funkcję firewall musi dysponować minimum 8 portami Gigabit Ethernet RJ-45.</w:t>
            </w:r>
          </w:p>
          <w:p w:rsidR="00853DE7" w:rsidRPr="0050012C" w:rsidRDefault="00853DE7" w:rsidP="001F149C">
            <w:pPr>
              <w:numPr>
                <w:ilvl w:val="3"/>
                <w:numId w:val="16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System firewall musi posiadać wbudowany port konsoli szeregowej oraz gniazdo USB umożliwiające podłączenie modemu 3G/4G oraz instalacji oprogramowania z klucza USB.</w:t>
            </w:r>
          </w:p>
          <w:p w:rsidR="00853DE7" w:rsidRPr="0050012C" w:rsidRDefault="00853DE7" w:rsidP="001F149C">
            <w:pPr>
              <w:numPr>
                <w:ilvl w:val="3"/>
                <w:numId w:val="16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W ramach systemu firewall powinna być możliwość zdefiniowania co najmniej 200 interfejsów wirtualnych - definiowanych jako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VLAN’y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 w oparciu o standard 802.1Q.</w:t>
            </w:r>
          </w:p>
          <w:p w:rsidR="00853DE7" w:rsidRPr="0050012C" w:rsidRDefault="00853DE7" w:rsidP="001F149C">
            <w:pPr>
              <w:numPr>
                <w:ilvl w:val="3"/>
                <w:numId w:val="16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System realizujący funkcję Firewall musi być wyposażony w lokalną przestrzeń dyskową o pojemności minimum 128 GB.</w:t>
            </w:r>
          </w:p>
        </w:tc>
      </w:tr>
      <w:tr w:rsidR="00853DE7" w:rsidRPr="0050012C" w:rsidTr="001F149C">
        <w:tc>
          <w:tcPr>
            <w:tcW w:w="2263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Wydajność</w:t>
            </w:r>
          </w:p>
        </w:tc>
        <w:tc>
          <w:tcPr>
            <w:tcW w:w="7626" w:type="dxa"/>
            <w:shd w:val="clear" w:color="auto" w:fill="auto"/>
          </w:tcPr>
          <w:p w:rsidR="00853DE7" w:rsidRPr="0050012C" w:rsidRDefault="00853DE7" w:rsidP="001F149C">
            <w:pPr>
              <w:numPr>
                <w:ilvl w:val="0"/>
                <w:numId w:val="27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W zakresie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frewall’a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 obsługa nie mniej niż 1,4 mln jednoczesnych połączeń oraz 100 tys. nowych połączeń na sekundę.</w:t>
            </w:r>
          </w:p>
          <w:p w:rsidR="00853DE7" w:rsidRPr="0050012C" w:rsidRDefault="00853DE7" w:rsidP="001F149C">
            <w:pPr>
              <w:numPr>
                <w:ilvl w:val="0"/>
                <w:numId w:val="27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Przepustowość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stateful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 firewall: nie mniej niż 10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Gbps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 dla pakietów 512 B.</w:t>
            </w:r>
          </w:p>
          <w:p w:rsidR="00853DE7" w:rsidRPr="0050012C" w:rsidRDefault="00853DE7" w:rsidP="001F149C">
            <w:pPr>
              <w:numPr>
                <w:ilvl w:val="0"/>
                <w:numId w:val="27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Przepustowość firewall z włączoną funkcją kontroli aplikacji: nie mniej niż 3,6Gbps.</w:t>
            </w:r>
          </w:p>
          <w:p w:rsidR="00853DE7" w:rsidRPr="0050012C" w:rsidRDefault="00853DE7" w:rsidP="001F149C">
            <w:pPr>
              <w:numPr>
                <w:ilvl w:val="0"/>
                <w:numId w:val="27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Wydajność szyfrowania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IPSec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 VPN nie mniej niż 7Gbps.</w:t>
            </w:r>
          </w:p>
          <w:p w:rsidR="00853DE7" w:rsidRPr="0050012C" w:rsidRDefault="00853DE7" w:rsidP="001F149C">
            <w:pPr>
              <w:numPr>
                <w:ilvl w:val="0"/>
                <w:numId w:val="27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Wydajność skanowania ruchu w celu ochrony przed atakami (zarówno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clientside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 jak i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serverside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 w ramach modułu IPS) dla ruchu Enterprise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Traffic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 Mix - minimum 2,5Gbps.</w:t>
            </w:r>
          </w:p>
          <w:p w:rsidR="00853DE7" w:rsidRPr="0050012C" w:rsidRDefault="00853DE7" w:rsidP="001F149C">
            <w:pPr>
              <w:numPr>
                <w:ilvl w:val="0"/>
                <w:numId w:val="27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Wydajność skanowania ruchu typu Enterprise Mix z włączonymi funkcjami: IPS, kontrola aplikacji, antywirus - minimum 1,3Gbps.</w:t>
            </w:r>
          </w:p>
          <w:p w:rsidR="00853DE7" w:rsidRPr="0050012C" w:rsidRDefault="00853DE7" w:rsidP="001F149C">
            <w:pPr>
              <w:numPr>
                <w:ilvl w:val="0"/>
                <w:numId w:val="27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Wydajność systemu w zakresie inspekcji komunikacji szyfrowanej SSL dla ruchu http – minimum 1,4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Gbps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853DE7" w:rsidRPr="0050012C" w:rsidTr="001F149C">
        <w:tc>
          <w:tcPr>
            <w:tcW w:w="2263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Funkcje systemu bezpieczeństwa</w:t>
            </w:r>
          </w:p>
        </w:tc>
        <w:tc>
          <w:tcPr>
            <w:tcW w:w="7626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W ramach dostarczonego systemu ochrony muszą być realizowane wszystkie poniższe funkcje. Mogą one być zrealizowane w postaci osobnych, komercyjnych platform sprzętowych lub programowych:</w:t>
            </w:r>
          </w:p>
          <w:p w:rsidR="00853DE7" w:rsidRPr="0050012C" w:rsidRDefault="00853DE7" w:rsidP="001F149C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Kontrola dostępu - zapora ogniowa klasy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StatefulInspection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  <w:p w:rsidR="00853DE7" w:rsidRPr="0050012C" w:rsidRDefault="00853DE7" w:rsidP="001F149C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lastRenderedPageBreak/>
              <w:t xml:space="preserve">Kontrola Aplikacji. </w:t>
            </w:r>
          </w:p>
          <w:p w:rsidR="00853DE7" w:rsidRPr="0050012C" w:rsidRDefault="00853DE7" w:rsidP="001F149C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Poufność transmisji danych  - połączenia szyfrowane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IPSec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 VPN oraz SSL VPN.</w:t>
            </w:r>
          </w:p>
          <w:p w:rsidR="00853DE7" w:rsidRPr="0050012C" w:rsidRDefault="00853DE7" w:rsidP="001F149C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Ochrona przed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malware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 – co najmniej dla protokołów SMTP, POP3, IMAP, HTTP, FTP, HTTPS.</w:t>
            </w:r>
          </w:p>
          <w:p w:rsidR="00853DE7" w:rsidRPr="0050012C" w:rsidRDefault="00853DE7" w:rsidP="001F149C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Ochrona przed atakami  -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IntrusionPrevention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 System.</w:t>
            </w:r>
          </w:p>
          <w:p w:rsidR="00853DE7" w:rsidRPr="0050012C" w:rsidRDefault="00853DE7" w:rsidP="001F149C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Kontrola stron WWW. </w:t>
            </w:r>
          </w:p>
          <w:p w:rsidR="00853DE7" w:rsidRPr="0050012C" w:rsidRDefault="00853DE7" w:rsidP="001F149C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Kontrola zawartości poczty –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Antyspam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 dla protokołów SMTP, POP3.</w:t>
            </w:r>
          </w:p>
          <w:p w:rsidR="00853DE7" w:rsidRPr="0050012C" w:rsidRDefault="00853DE7" w:rsidP="001F149C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Zarządzanie pasmem (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QoS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,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Trafficshaping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>).</w:t>
            </w:r>
          </w:p>
          <w:p w:rsidR="00853DE7" w:rsidRPr="0050012C" w:rsidRDefault="00853DE7" w:rsidP="001F149C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Mechanizmy ochrony przed wyciekiem poufnej informacji (DLP). </w:t>
            </w:r>
          </w:p>
          <w:p w:rsidR="00853DE7" w:rsidRPr="0050012C" w:rsidRDefault="00853DE7" w:rsidP="001F149C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Dwu-składnikowe uwierzytelnianie z wykorzystaniem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tokenów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 sprzętowych lub programowych. W ramach postępowania powinny zostać dostarczone co najmniej 2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tokeny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 sprzętowe lub programowe, które będą zastosowane do dwu-składnikowego uwierzytelnienia administratorów lub w ramach połączeń VPN typu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client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>-to-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site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. </w:t>
            </w:r>
          </w:p>
          <w:p w:rsidR="00853DE7" w:rsidRPr="0050012C" w:rsidRDefault="00853DE7" w:rsidP="001F149C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Analiza ruchu szyfrowanego protokołem SSL także dla protokołu HTTP/2.</w:t>
            </w:r>
          </w:p>
          <w:p w:rsidR="00853DE7" w:rsidRPr="0050012C" w:rsidRDefault="00853DE7" w:rsidP="001F149C">
            <w:pPr>
              <w:numPr>
                <w:ilvl w:val="6"/>
                <w:numId w:val="27"/>
              </w:numPr>
              <w:spacing w:before="0" w:after="0" w:line="276" w:lineRule="auto"/>
              <w:ind w:left="37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Funkcja lokalnego serwera DNS ze wsparciem dla DNS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over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 TLS (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DoT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) oraz DNS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over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 HTTPS (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DoH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>) z możliwością filtrowania zapytań DNS na lokalnym serwerze DNS jak i w ruchu przechodzącym przez system</w:t>
            </w:r>
          </w:p>
        </w:tc>
      </w:tr>
      <w:tr w:rsidR="00853DE7" w:rsidRPr="0050012C" w:rsidTr="001F149C">
        <w:tc>
          <w:tcPr>
            <w:tcW w:w="2263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lastRenderedPageBreak/>
              <w:t>Polityki firewall</w:t>
            </w:r>
          </w:p>
        </w:tc>
        <w:tc>
          <w:tcPr>
            <w:tcW w:w="7626" w:type="dxa"/>
            <w:shd w:val="clear" w:color="auto" w:fill="auto"/>
          </w:tcPr>
          <w:p w:rsidR="00853DE7" w:rsidRPr="0050012C" w:rsidRDefault="00853DE7" w:rsidP="001F149C">
            <w:pPr>
              <w:numPr>
                <w:ilvl w:val="6"/>
                <w:numId w:val="17"/>
              </w:numPr>
              <w:spacing w:before="0" w:after="0" w:line="276" w:lineRule="auto"/>
              <w:ind w:left="31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Polityka Firewall musi uwzględniać adresy IP, użytkowników, protokoły, usługi sieciowe, aplikacje lub zbiory aplikacji, reakcje zabezpieczeń, rejestrowanie zdarzeń. </w:t>
            </w:r>
          </w:p>
          <w:p w:rsidR="00853DE7" w:rsidRPr="0050012C" w:rsidRDefault="00853DE7" w:rsidP="001F149C">
            <w:pPr>
              <w:numPr>
                <w:ilvl w:val="6"/>
                <w:numId w:val="17"/>
              </w:numPr>
              <w:spacing w:before="0" w:after="0" w:line="276" w:lineRule="auto"/>
              <w:ind w:left="31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System musi zapewniać translację adresów NAT: źródłowego i docelowego, translację PAT oraz:</w:t>
            </w:r>
          </w:p>
          <w:p w:rsidR="00853DE7" w:rsidRPr="0050012C" w:rsidRDefault="00853DE7" w:rsidP="001F149C">
            <w:pPr>
              <w:numPr>
                <w:ilvl w:val="1"/>
                <w:numId w:val="2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Translację jeden do jeden oraz jeden do wielu.</w:t>
            </w:r>
          </w:p>
          <w:p w:rsidR="00853DE7" w:rsidRPr="0050012C" w:rsidRDefault="00853DE7" w:rsidP="001F149C">
            <w:pPr>
              <w:numPr>
                <w:ilvl w:val="1"/>
                <w:numId w:val="2"/>
              </w:num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  <w:lang w:val="en-US"/>
              </w:rPr>
            </w:pP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  <w:lang w:val="en-US"/>
              </w:rPr>
              <w:t>Dedykowany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ALG (Application Level Gateway)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  <w:lang w:val="en-US"/>
              </w:rPr>
              <w:t>dlaprotokołu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SIP. </w:t>
            </w:r>
          </w:p>
          <w:p w:rsidR="00853DE7" w:rsidRPr="0050012C" w:rsidRDefault="00853DE7" w:rsidP="001F149C">
            <w:pPr>
              <w:numPr>
                <w:ilvl w:val="6"/>
                <w:numId w:val="17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W ramach systemu musi istnieć możliwość tworzenia wydzielonych stref bezpieczeństwa np. DMZ, LAN, WAN.</w:t>
            </w:r>
          </w:p>
          <w:p w:rsidR="00853DE7" w:rsidRPr="0050012C" w:rsidRDefault="00853DE7" w:rsidP="001F149C">
            <w:pPr>
              <w:numPr>
                <w:ilvl w:val="6"/>
                <w:numId w:val="17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Możliwość wykorzystania w polityce bezpieczeństwa zewnętrznych repozytoriów zawierających: kategorie URL, adresy IP, nazwy domenowe,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hashe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 złośliwych plików.</w:t>
            </w:r>
          </w:p>
        </w:tc>
      </w:tr>
      <w:tr w:rsidR="00853DE7" w:rsidRPr="0050012C" w:rsidTr="001F149C">
        <w:tc>
          <w:tcPr>
            <w:tcW w:w="2263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Połączenia VPN</w:t>
            </w:r>
          </w:p>
        </w:tc>
        <w:tc>
          <w:tcPr>
            <w:tcW w:w="7626" w:type="dxa"/>
            <w:shd w:val="clear" w:color="auto" w:fill="auto"/>
          </w:tcPr>
          <w:p w:rsidR="00853DE7" w:rsidRPr="0050012C" w:rsidRDefault="00853DE7" w:rsidP="001F149C">
            <w:pPr>
              <w:numPr>
                <w:ilvl w:val="0"/>
                <w:numId w:val="26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System musi umożliwiać konfigurację połączeń typu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IPSec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VPN. W zakresie tej funkcji musi zapewniać:</w:t>
            </w:r>
          </w:p>
          <w:p w:rsidR="00853DE7" w:rsidRPr="0050012C" w:rsidRDefault="00853DE7" w:rsidP="001F149C">
            <w:pPr>
              <w:numPr>
                <w:ilvl w:val="0"/>
                <w:numId w:val="3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Wsparcie dla IKE v1 oraz v2.</w:t>
            </w:r>
          </w:p>
          <w:p w:rsidR="00853DE7" w:rsidRPr="0050012C" w:rsidRDefault="00853DE7" w:rsidP="001F149C">
            <w:pPr>
              <w:numPr>
                <w:ilvl w:val="0"/>
                <w:numId w:val="4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Obsługa szyfrowania protokołem AES z kluczem 128 i 256 bitów w trybie pracy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Galois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/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CounterMode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(GCM).</w:t>
            </w:r>
          </w:p>
          <w:p w:rsidR="00853DE7" w:rsidRPr="0050012C" w:rsidRDefault="00853DE7" w:rsidP="001F149C">
            <w:pPr>
              <w:numPr>
                <w:ilvl w:val="0"/>
                <w:numId w:val="5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Obsługa protokołu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Diffie-Hellman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 grup 19 i 20.</w:t>
            </w:r>
          </w:p>
          <w:p w:rsidR="00853DE7" w:rsidRPr="0050012C" w:rsidRDefault="00853DE7" w:rsidP="001F149C">
            <w:pPr>
              <w:numPr>
                <w:ilvl w:val="0"/>
                <w:numId w:val="6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Wsparcie dla Pracy w topologii Hub and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Spoke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oraz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Mesh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, w tym wsparcie dla dynamicznego zestawiania tuneli pomiędzy SPOKE w topologii HUB and SPOKE.</w:t>
            </w:r>
          </w:p>
          <w:p w:rsidR="00853DE7" w:rsidRPr="0050012C" w:rsidRDefault="00853DE7" w:rsidP="001F149C">
            <w:pPr>
              <w:numPr>
                <w:ilvl w:val="0"/>
                <w:numId w:val="7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Tworzenie połączeń typu Site-to-Site oraz Client-to-Site.</w:t>
            </w:r>
          </w:p>
          <w:p w:rsidR="00853DE7" w:rsidRPr="0050012C" w:rsidRDefault="00853DE7" w:rsidP="001F149C">
            <w:pPr>
              <w:numPr>
                <w:ilvl w:val="0"/>
                <w:numId w:val="8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Monitorowanie stanu tuneli VPN i stałego utrzymywania ich aktywności.</w:t>
            </w:r>
          </w:p>
          <w:p w:rsidR="00853DE7" w:rsidRPr="0050012C" w:rsidRDefault="00853DE7" w:rsidP="001F149C">
            <w:pPr>
              <w:numPr>
                <w:ilvl w:val="0"/>
                <w:numId w:val="9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Możliwość wyboru tunelu przez protokoły: dynamicznego routingu (np. OSPF) oraz routingu statycznego.</w:t>
            </w:r>
          </w:p>
          <w:p w:rsidR="00853DE7" w:rsidRPr="0050012C" w:rsidRDefault="00853DE7" w:rsidP="001F149C">
            <w:pPr>
              <w:numPr>
                <w:ilvl w:val="0"/>
                <w:numId w:val="10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Obsługa mechanizmów: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IPSec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NAT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Traversal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, DPD,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Xauth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.</w:t>
            </w:r>
          </w:p>
          <w:p w:rsidR="00853DE7" w:rsidRPr="0050012C" w:rsidRDefault="00853DE7" w:rsidP="001F149C">
            <w:pPr>
              <w:numPr>
                <w:ilvl w:val="0"/>
                <w:numId w:val="1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lastRenderedPageBreak/>
              <w:t xml:space="preserve">Mechanizm „Split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tunneling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” dla połączeń Client-to-Site.</w:t>
            </w:r>
          </w:p>
          <w:p w:rsidR="00853DE7" w:rsidRPr="0050012C" w:rsidRDefault="00853DE7" w:rsidP="001F149C">
            <w:pPr>
              <w:numPr>
                <w:ilvl w:val="0"/>
                <w:numId w:val="26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System musi umożliwiać konfigurację połączeń typu SSL VPN. W zakresie tej funkcji musi zapewniać:</w:t>
            </w:r>
          </w:p>
          <w:p w:rsidR="00853DE7" w:rsidRPr="0050012C" w:rsidRDefault="00853DE7" w:rsidP="001F149C">
            <w:pPr>
              <w:numPr>
                <w:ilvl w:val="0"/>
                <w:numId w:val="12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Pracę w trybie Portal  - gdzie dostęp do chronionych zasobów realizowany jest za pośrednictwem przeglądarki. W tym zakresie system musi zapewniać stronę komunikacyjną działającą w oparciu o HTML 5.0.</w:t>
            </w:r>
          </w:p>
          <w:p w:rsidR="00853DE7" w:rsidRPr="0050012C" w:rsidRDefault="00853DE7" w:rsidP="001F149C">
            <w:pPr>
              <w:numPr>
                <w:ilvl w:val="0"/>
                <w:numId w:val="13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Pracę w trybie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Tunnel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z możliwością włączenia funkcji „Split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tunneling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” przy zastosowaniu dedykowanego klienta.</w:t>
            </w:r>
          </w:p>
          <w:p w:rsidR="00853DE7" w:rsidRPr="0050012C" w:rsidRDefault="00853DE7" w:rsidP="001F149C">
            <w:pPr>
              <w:numPr>
                <w:ilvl w:val="0"/>
                <w:numId w:val="13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Producent rozwiązania musi dostarczać oprogramowanie klienckie VPN, które umożliwia realizację połączeń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IPSec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VPN lub SSL VPN.</w:t>
            </w:r>
          </w:p>
        </w:tc>
      </w:tr>
      <w:tr w:rsidR="00853DE7" w:rsidRPr="0050012C" w:rsidTr="001F149C">
        <w:tc>
          <w:tcPr>
            <w:tcW w:w="2263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lastRenderedPageBreak/>
              <w:t>Routing i obsługa łączy WAN</w:t>
            </w:r>
          </w:p>
        </w:tc>
        <w:tc>
          <w:tcPr>
            <w:tcW w:w="7626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W zakresie routingu rozwiązanie powinno zapewniać obsługę: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•</w:t>
            </w:r>
            <w:r w:rsidRPr="0050012C">
              <w:rPr>
                <w:rFonts w:ascii="Verdana" w:hAnsi="Verdana"/>
                <w:sz w:val="20"/>
                <w:szCs w:val="20"/>
              </w:rPr>
              <w:tab/>
              <w:t xml:space="preserve">Routingu statycznego. 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•</w:t>
            </w:r>
            <w:r w:rsidRPr="0050012C">
              <w:rPr>
                <w:rFonts w:ascii="Verdana" w:hAnsi="Verdana"/>
                <w:sz w:val="20"/>
                <w:szCs w:val="20"/>
              </w:rPr>
              <w:tab/>
              <w:t xml:space="preserve">Policy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Based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Routingu.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•</w:t>
            </w:r>
            <w:r w:rsidRPr="0050012C">
              <w:rPr>
                <w:rFonts w:ascii="Verdana" w:hAnsi="Verdana"/>
                <w:sz w:val="20"/>
                <w:szCs w:val="20"/>
              </w:rPr>
              <w:tab/>
              <w:t>Protokołów dynamicznego routingu w oparciu o protokoły: RIPv2, OSPF, BGP oraz PIM.</w:t>
            </w:r>
          </w:p>
        </w:tc>
      </w:tr>
      <w:tr w:rsidR="00853DE7" w:rsidRPr="0050012C" w:rsidTr="001F149C">
        <w:tc>
          <w:tcPr>
            <w:tcW w:w="2263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Funkcje SD-WAN</w:t>
            </w:r>
          </w:p>
        </w:tc>
        <w:tc>
          <w:tcPr>
            <w:tcW w:w="7626" w:type="dxa"/>
            <w:shd w:val="clear" w:color="auto" w:fill="auto"/>
          </w:tcPr>
          <w:p w:rsidR="00853DE7" w:rsidRPr="0050012C" w:rsidRDefault="00853DE7" w:rsidP="001F149C">
            <w:pPr>
              <w:numPr>
                <w:ilvl w:val="3"/>
                <w:numId w:val="2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System powinien umożliwiać wykorzystanie protokołów dynamicznego routingu przy konfiguracji równoważenia obciążenia do łączy WAN.</w:t>
            </w:r>
          </w:p>
          <w:p w:rsidR="00853DE7" w:rsidRPr="0050012C" w:rsidRDefault="00853DE7" w:rsidP="001F149C">
            <w:pPr>
              <w:numPr>
                <w:ilvl w:val="3"/>
                <w:numId w:val="2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Reguły SD-WAN powinny umożliwiać określenie aplikacji jako argumentu dla kierowania ruchu.</w:t>
            </w:r>
          </w:p>
        </w:tc>
      </w:tr>
      <w:tr w:rsidR="00853DE7" w:rsidRPr="0050012C" w:rsidTr="001F149C">
        <w:tc>
          <w:tcPr>
            <w:tcW w:w="2263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Zarządzanie pasmem</w:t>
            </w:r>
          </w:p>
        </w:tc>
        <w:tc>
          <w:tcPr>
            <w:tcW w:w="7626" w:type="dxa"/>
            <w:shd w:val="clear" w:color="auto" w:fill="auto"/>
          </w:tcPr>
          <w:p w:rsidR="00853DE7" w:rsidRPr="0050012C" w:rsidRDefault="00853DE7" w:rsidP="001F149C">
            <w:pPr>
              <w:numPr>
                <w:ilvl w:val="0"/>
                <w:numId w:val="25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System Firewall musi umożliwiać zarządzanie pasmem poprzez określenie: maksymalnej, gwarantowanej ilości pasma,  oznaczanie DSCP oraz wskazanie priorytetu ruchu.</w:t>
            </w:r>
          </w:p>
          <w:p w:rsidR="00853DE7" w:rsidRPr="0050012C" w:rsidRDefault="00853DE7" w:rsidP="001F149C">
            <w:pPr>
              <w:numPr>
                <w:ilvl w:val="0"/>
                <w:numId w:val="25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Musi istnieć możliwość określania pasma dla poszczególnych aplikacji.</w:t>
            </w:r>
          </w:p>
          <w:p w:rsidR="00853DE7" w:rsidRPr="0050012C" w:rsidRDefault="00853DE7" w:rsidP="001F149C">
            <w:pPr>
              <w:numPr>
                <w:ilvl w:val="0"/>
                <w:numId w:val="25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System musi zapewniać możliwość zarządzania pasmem dla wybranych kategorii URL.</w:t>
            </w:r>
          </w:p>
        </w:tc>
      </w:tr>
      <w:tr w:rsidR="00853DE7" w:rsidRPr="0050012C" w:rsidTr="001F149C">
        <w:tc>
          <w:tcPr>
            <w:tcW w:w="2263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Ochrona przed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malware</w:t>
            </w:r>
            <w:proofErr w:type="spellEnd"/>
          </w:p>
        </w:tc>
        <w:tc>
          <w:tcPr>
            <w:tcW w:w="7626" w:type="dxa"/>
            <w:shd w:val="clear" w:color="auto" w:fill="auto"/>
          </w:tcPr>
          <w:p w:rsidR="00853DE7" w:rsidRPr="0050012C" w:rsidRDefault="00853DE7" w:rsidP="001F149C">
            <w:pPr>
              <w:numPr>
                <w:ilvl w:val="0"/>
                <w:numId w:val="24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Silnik antywirusowy musi umożliwiać skanowanie ruchu w obu kierunkach komunikacji dla protokołów działających na niestandardowych portach (np. FTP na porcie 2021).</w:t>
            </w:r>
          </w:p>
          <w:p w:rsidR="00853DE7" w:rsidRPr="0050012C" w:rsidRDefault="00853DE7" w:rsidP="001F149C">
            <w:pPr>
              <w:numPr>
                <w:ilvl w:val="0"/>
                <w:numId w:val="24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System musi umożliwiać skanowanie archiwów, w tym co najmniej: zip, RAR.</w:t>
            </w:r>
          </w:p>
          <w:p w:rsidR="00853DE7" w:rsidRPr="0050012C" w:rsidRDefault="00853DE7" w:rsidP="001F149C">
            <w:pPr>
              <w:numPr>
                <w:ilvl w:val="0"/>
                <w:numId w:val="24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System musi dysponować sygnaturami do ochrony urządzeń mobilnych (co najmniej dla systemu operacyjnego Android).</w:t>
            </w:r>
          </w:p>
          <w:p w:rsidR="00853DE7" w:rsidRPr="0050012C" w:rsidRDefault="00853DE7" w:rsidP="001F149C">
            <w:pPr>
              <w:numPr>
                <w:ilvl w:val="0"/>
                <w:numId w:val="24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System musi współpracować z dedykowaną platformą typu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Sandbox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lub usługą typu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Sandbox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realizowaną w chmurze. W ramach postępowania musi zostać dostarczona platforma typu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Sandbox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wraz z niezbędnymi serwisami lub licencja upoważniająca do korzystania z usługi typu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Sandbox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w chmurze. </w:t>
            </w:r>
          </w:p>
          <w:p w:rsidR="00853DE7" w:rsidRPr="0050012C" w:rsidRDefault="00853DE7" w:rsidP="001F149C">
            <w:pPr>
              <w:numPr>
                <w:ilvl w:val="0"/>
                <w:numId w:val="24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System musi umożliwiać usuwanie aktywnej zawartości plików PDF oraz Microsoft Office bez konieczności blokowania transferu całych plików.</w:t>
            </w:r>
          </w:p>
          <w:p w:rsidR="00853DE7" w:rsidRPr="0050012C" w:rsidRDefault="00853DE7" w:rsidP="001F149C">
            <w:pPr>
              <w:numPr>
                <w:ilvl w:val="0"/>
                <w:numId w:val="24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Możliwość wykorzystania silnika sztucznej inteligencji AI wytrenowanego przez laboratoria producenta.</w:t>
            </w:r>
          </w:p>
        </w:tc>
      </w:tr>
      <w:tr w:rsidR="00853DE7" w:rsidRPr="0050012C" w:rsidTr="001F149C">
        <w:tc>
          <w:tcPr>
            <w:tcW w:w="2263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Ochrona przed atakami</w:t>
            </w:r>
          </w:p>
        </w:tc>
        <w:tc>
          <w:tcPr>
            <w:tcW w:w="7626" w:type="dxa"/>
            <w:shd w:val="clear" w:color="auto" w:fill="auto"/>
          </w:tcPr>
          <w:p w:rsidR="00853DE7" w:rsidRPr="0050012C" w:rsidRDefault="00853DE7" w:rsidP="001F149C">
            <w:pPr>
              <w:numPr>
                <w:ilvl w:val="0"/>
                <w:numId w:val="23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Ochrona IPS powinna opierać się co najmniej na analizie sygnaturowej oraz na analizie anomalii w protokołach sieciowych.</w:t>
            </w:r>
          </w:p>
          <w:p w:rsidR="00853DE7" w:rsidRPr="0050012C" w:rsidRDefault="00853DE7" w:rsidP="001F149C">
            <w:pPr>
              <w:numPr>
                <w:ilvl w:val="0"/>
                <w:numId w:val="23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System powinien chronić przed atakami na aplikacje pracujące na </w:t>
            </w:r>
            <w:r w:rsidRPr="0050012C">
              <w:rPr>
                <w:rFonts w:ascii="Verdana" w:hAnsi="Verdana"/>
                <w:sz w:val="20"/>
                <w:szCs w:val="20"/>
              </w:rPr>
              <w:lastRenderedPageBreak/>
              <w:t>niestandardowych portach.</w:t>
            </w:r>
          </w:p>
          <w:p w:rsidR="00853DE7" w:rsidRPr="0050012C" w:rsidRDefault="00853DE7" w:rsidP="001F149C">
            <w:pPr>
              <w:numPr>
                <w:ilvl w:val="0"/>
                <w:numId w:val="23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Administrator systemu musi mieć możliwość definiowania własnych wyjątków oraz własnych sygnatur.</w:t>
            </w:r>
          </w:p>
          <w:p w:rsidR="00853DE7" w:rsidRPr="0050012C" w:rsidRDefault="00853DE7" w:rsidP="001F149C">
            <w:pPr>
              <w:numPr>
                <w:ilvl w:val="0"/>
                <w:numId w:val="23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System musi zapewniać wykrywanie anomalii protokołów i ruchu sieciowego, realizując tym samym podstawową ochronę przed atakami typu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DoS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oraz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DDoS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.</w:t>
            </w:r>
          </w:p>
          <w:p w:rsidR="00853DE7" w:rsidRPr="0050012C" w:rsidRDefault="00853DE7" w:rsidP="001F149C">
            <w:pPr>
              <w:numPr>
                <w:ilvl w:val="0"/>
                <w:numId w:val="23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Mechanizmy ochrony dla aplikacji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Web’owych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na poziomie sygnaturowym (co najmniej ochrona przed: CSS, SQL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Injecton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, Trojany,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Exploity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, Roboty) oraz możliwość kontrolowania długości nagłówka, ilości parametrów URL,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Cookies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.</w:t>
            </w:r>
          </w:p>
          <w:p w:rsidR="00853DE7" w:rsidRPr="0050012C" w:rsidRDefault="00853DE7" w:rsidP="001F149C">
            <w:pPr>
              <w:numPr>
                <w:ilvl w:val="0"/>
                <w:numId w:val="23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Wykrywanie i blokowanie komunikacji C&amp;C do sieci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botnet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853DE7" w:rsidRPr="0050012C" w:rsidTr="001F149C">
        <w:tc>
          <w:tcPr>
            <w:tcW w:w="2263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lastRenderedPageBreak/>
              <w:t>Kontrola aplikacji</w:t>
            </w:r>
          </w:p>
        </w:tc>
        <w:tc>
          <w:tcPr>
            <w:tcW w:w="7626" w:type="dxa"/>
            <w:shd w:val="clear" w:color="auto" w:fill="auto"/>
          </w:tcPr>
          <w:p w:rsidR="00853DE7" w:rsidRPr="0050012C" w:rsidRDefault="00853DE7" w:rsidP="001F149C">
            <w:pPr>
              <w:numPr>
                <w:ilvl w:val="0"/>
                <w:numId w:val="22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Funkcja kontroli aplikacji powinna umożliwiać kontrolę ruchu na podstawie głębokiej analizy pakietów, nie bazując jedynie na wartościach portów TCP/UDP.</w:t>
            </w:r>
          </w:p>
          <w:p w:rsidR="00853DE7" w:rsidRPr="0050012C" w:rsidRDefault="00853DE7" w:rsidP="001F149C">
            <w:pPr>
              <w:numPr>
                <w:ilvl w:val="0"/>
                <w:numId w:val="22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Aplikacje chmurowe (co najmniej: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Facebook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, Google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Docs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Dropbox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) powinny być kontrolowane pod względem wykonywanych czynności, np.: pobieranie, wysyłanie plików. </w:t>
            </w:r>
          </w:p>
          <w:p w:rsidR="00853DE7" w:rsidRPr="0050012C" w:rsidRDefault="00853DE7" w:rsidP="001F149C">
            <w:pPr>
              <w:numPr>
                <w:ilvl w:val="0"/>
                <w:numId w:val="22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Baza powinna zawierać kategorie aplikacji szczególnie istotne z punktu widzenia bezpieczeństwa: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proxy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, P2P.</w:t>
            </w:r>
          </w:p>
          <w:p w:rsidR="00853DE7" w:rsidRPr="0050012C" w:rsidRDefault="00853DE7" w:rsidP="001F149C">
            <w:pPr>
              <w:numPr>
                <w:ilvl w:val="0"/>
                <w:numId w:val="22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Administrator systemu musi mieć możliwość definiowania wyjątków oraz własnych sygnatur.</w:t>
            </w:r>
          </w:p>
        </w:tc>
      </w:tr>
      <w:tr w:rsidR="00853DE7" w:rsidRPr="0050012C" w:rsidTr="001F149C">
        <w:tc>
          <w:tcPr>
            <w:tcW w:w="2263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Kontrola WWW</w:t>
            </w:r>
          </w:p>
        </w:tc>
        <w:tc>
          <w:tcPr>
            <w:tcW w:w="7626" w:type="dxa"/>
            <w:shd w:val="clear" w:color="auto" w:fill="auto"/>
          </w:tcPr>
          <w:p w:rsidR="00853DE7" w:rsidRPr="0050012C" w:rsidRDefault="00853DE7" w:rsidP="001F149C">
            <w:pPr>
              <w:numPr>
                <w:ilvl w:val="0"/>
                <w:numId w:val="21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Moduł kontroli WWW musi korzystać z bazy adresów URL  pogrupowanych w kategorie tematyczne. </w:t>
            </w:r>
          </w:p>
          <w:p w:rsidR="00853DE7" w:rsidRPr="0050012C" w:rsidRDefault="00853DE7" w:rsidP="001F149C">
            <w:pPr>
              <w:numPr>
                <w:ilvl w:val="0"/>
                <w:numId w:val="21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W ramach filtra www powinny być dostępne kategorie istotne z punktu widzenia bezpieczeństwa, jak: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malware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(lub inne będące źródłem złośliwego oprogramowania),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phishing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, spam,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Dynamic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DNS,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proxy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.</w:t>
            </w:r>
          </w:p>
          <w:p w:rsidR="00853DE7" w:rsidRPr="0050012C" w:rsidRDefault="00853DE7" w:rsidP="001F149C">
            <w:pPr>
              <w:numPr>
                <w:ilvl w:val="0"/>
                <w:numId w:val="21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Filtr WWW musi dostarczać kategorii stron zabronionych prawem: Hazard.</w:t>
            </w:r>
          </w:p>
          <w:p w:rsidR="00853DE7" w:rsidRPr="0050012C" w:rsidRDefault="00853DE7" w:rsidP="001F149C">
            <w:pPr>
              <w:numPr>
                <w:ilvl w:val="0"/>
                <w:numId w:val="21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Administrator musi mieć możliwość nadpisywania kategorii oraz tworzenia wyjątków – białe/czarne listy dla adresów URL.</w:t>
            </w:r>
          </w:p>
          <w:p w:rsidR="00853DE7" w:rsidRPr="0050012C" w:rsidRDefault="00853DE7" w:rsidP="001F149C">
            <w:pPr>
              <w:numPr>
                <w:ilvl w:val="0"/>
                <w:numId w:val="21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Funkcja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SafeSearch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– przeciwdziałająca pojawieniu się niechcianych treści w wynikach wyszukiwarek takich jak: Google, oraz Yahoo.</w:t>
            </w:r>
          </w:p>
          <w:p w:rsidR="00853DE7" w:rsidRPr="0050012C" w:rsidRDefault="00853DE7" w:rsidP="001F149C">
            <w:pPr>
              <w:numPr>
                <w:ilvl w:val="0"/>
                <w:numId w:val="21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Administrator musi mieć możliwość definiowania komunikatów zwracanych użytkownikowi dla różnych akcji podejmowanych przez moduł filtrowania.</w:t>
            </w:r>
          </w:p>
          <w:p w:rsidR="00853DE7" w:rsidRPr="0050012C" w:rsidRDefault="00853DE7" w:rsidP="001F149C">
            <w:pPr>
              <w:numPr>
                <w:ilvl w:val="0"/>
                <w:numId w:val="21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W ramach systemu musi istnieć możliwość określenia, dla których kategorii URL lub wskazanych URL - system nie będzie dokonywał inspekcji szyfrowanej komunikacji.</w:t>
            </w:r>
          </w:p>
        </w:tc>
      </w:tr>
      <w:tr w:rsidR="00853DE7" w:rsidRPr="0050012C" w:rsidTr="001F149C">
        <w:tc>
          <w:tcPr>
            <w:tcW w:w="2263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Uwierzytelnianie użytkowników w ramach sesji</w:t>
            </w:r>
          </w:p>
        </w:tc>
        <w:tc>
          <w:tcPr>
            <w:tcW w:w="7626" w:type="dxa"/>
            <w:shd w:val="clear" w:color="auto" w:fill="auto"/>
          </w:tcPr>
          <w:p w:rsidR="00853DE7" w:rsidRPr="0050012C" w:rsidRDefault="00853DE7" w:rsidP="001F149C">
            <w:pPr>
              <w:numPr>
                <w:ilvl w:val="0"/>
                <w:numId w:val="20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System Firewall musi umożliwiać weryfikację tożsamości użytkowników za pomocą:</w:t>
            </w:r>
          </w:p>
          <w:p w:rsidR="00853DE7" w:rsidRPr="0050012C" w:rsidRDefault="00853DE7" w:rsidP="001F149C">
            <w:pPr>
              <w:numPr>
                <w:ilvl w:val="0"/>
                <w:numId w:val="14"/>
              </w:numPr>
              <w:spacing w:before="0" w:after="0" w:line="276" w:lineRule="auto"/>
              <w:ind w:left="769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Haseł statycznych i definicji użytkowników przechowywanych w lokalnej bazie systemu.</w:t>
            </w:r>
          </w:p>
          <w:p w:rsidR="00853DE7" w:rsidRPr="0050012C" w:rsidRDefault="00853DE7" w:rsidP="001F149C">
            <w:pPr>
              <w:numPr>
                <w:ilvl w:val="0"/>
                <w:numId w:val="15"/>
              </w:numPr>
              <w:spacing w:before="0" w:after="0" w:line="276" w:lineRule="auto"/>
              <w:ind w:left="769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Haseł statycznych i definicji użytkowników przechowywanych w bazach zgodnych z LDAP.</w:t>
            </w:r>
          </w:p>
          <w:p w:rsidR="00853DE7" w:rsidRPr="0050012C" w:rsidRDefault="00853DE7" w:rsidP="001F149C">
            <w:pPr>
              <w:numPr>
                <w:ilvl w:val="0"/>
                <w:numId w:val="1"/>
              </w:numPr>
              <w:spacing w:before="0" w:after="0" w:line="276" w:lineRule="auto"/>
              <w:ind w:left="769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Haseł dynamicznych (RADIUS, RSA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SecurID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) w oparciu o zewnętrzne bazy danych. </w:t>
            </w:r>
          </w:p>
          <w:p w:rsidR="00853DE7" w:rsidRPr="0050012C" w:rsidRDefault="00853DE7" w:rsidP="001F149C">
            <w:pPr>
              <w:numPr>
                <w:ilvl w:val="0"/>
                <w:numId w:val="20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Musi istnieć możliwość zastosowania w tym procesie uwierzytelniania </w:t>
            </w:r>
            <w:r w:rsidRPr="0050012C">
              <w:rPr>
                <w:rFonts w:ascii="Verdana" w:hAnsi="Verdana"/>
                <w:sz w:val="20"/>
                <w:szCs w:val="20"/>
              </w:rPr>
              <w:lastRenderedPageBreak/>
              <w:t>dwu-składnikowego.</w:t>
            </w:r>
          </w:p>
          <w:p w:rsidR="00853DE7" w:rsidRPr="0050012C" w:rsidRDefault="00853DE7" w:rsidP="001F149C">
            <w:pPr>
              <w:numPr>
                <w:ilvl w:val="0"/>
                <w:numId w:val="20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Rozwiązanie powinno umożliwiać budowę architektury uwierzytelniania typu Single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Sign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On przy integracji ze środowiskiem Active Directory oraz zastosowanie innych mechanizmów: RADIUS lub API.</w:t>
            </w:r>
          </w:p>
          <w:p w:rsidR="00853DE7" w:rsidRPr="0050012C" w:rsidRDefault="00853DE7" w:rsidP="001F149C">
            <w:pPr>
              <w:numPr>
                <w:ilvl w:val="0"/>
                <w:numId w:val="20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Uwierzytelnianie w oparciu o protokół SAML w politykach bezpieczeństwa systemu dotyczących ruchu HTTP.</w:t>
            </w:r>
          </w:p>
        </w:tc>
      </w:tr>
      <w:tr w:rsidR="00853DE7" w:rsidRPr="0050012C" w:rsidTr="001F149C">
        <w:tc>
          <w:tcPr>
            <w:tcW w:w="2263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lastRenderedPageBreak/>
              <w:t>Zarządzanie</w:t>
            </w:r>
          </w:p>
        </w:tc>
        <w:tc>
          <w:tcPr>
            <w:tcW w:w="7626" w:type="dxa"/>
            <w:shd w:val="clear" w:color="auto" w:fill="auto"/>
          </w:tcPr>
          <w:p w:rsidR="00853DE7" w:rsidRPr="0050012C" w:rsidRDefault="00853DE7" w:rsidP="001F149C">
            <w:pPr>
              <w:numPr>
                <w:ilvl w:val="0"/>
                <w:numId w:val="18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Elementy systemu bezpieczeństwa muszą mieć możliwość zarządzania lokalnego z wykorzystaniem protokołów: HTTPS oraz SSH, jak i powinny mieć możliwość współpracy z dedykowanymi platformami  centralnego zarządzania i monitorowania.</w:t>
            </w:r>
          </w:p>
          <w:p w:rsidR="00853DE7" w:rsidRPr="0050012C" w:rsidRDefault="00853DE7" w:rsidP="001F149C">
            <w:pPr>
              <w:numPr>
                <w:ilvl w:val="0"/>
                <w:numId w:val="18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Komunikacja systemów zabezpieczeń z platformami  centralnego zarządzania musi być realizowana z wykorzystaniem szyfrowanych protokołów.</w:t>
            </w:r>
          </w:p>
          <w:p w:rsidR="00853DE7" w:rsidRPr="0050012C" w:rsidRDefault="00853DE7" w:rsidP="001F149C">
            <w:pPr>
              <w:numPr>
                <w:ilvl w:val="0"/>
                <w:numId w:val="18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Powinna istnieć możliwość włączenia mechanizmów uwierzytelniania dwu-składnikowego dla dostępu administracyjnego.</w:t>
            </w:r>
          </w:p>
          <w:p w:rsidR="00853DE7" w:rsidRPr="0050012C" w:rsidRDefault="00853DE7" w:rsidP="001F149C">
            <w:pPr>
              <w:numPr>
                <w:ilvl w:val="0"/>
                <w:numId w:val="18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System musi współpracować z rozwiązaniami monitorowania poprzez protokoły SNMP w wersjach 2c, 3 oraz umożliwiać przekazywanie statystyk ruchu za pomocą protokołów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netflow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lub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sflow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.</w:t>
            </w:r>
          </w:p>
          <w:p w:rsidR="00853DE7" w:rsidRPr="0050012C" w:rsidRDefault="00853DE7" w:rsidP="001F149C">
            <w:pPr>
              <w:numPr>
                <w:ilvl w:val="0"/>
                <w:numId w:val="18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System musi mieć możliwość zarządzania przez systemy firm trzecich poprzez API, do którego producent udostępnia dokumentację.</w:t>
            </w:r>
          </w:p>
          <w:p w:rsidR="00853DE7" w:rsidRPr="0050012C" w:rsidRDefault="00853DE7" w:rsidP="001F149C">
            <w:pPr>
              <w:numPr>
                <w:ilvl w:val="0"/>
                <w:numId w:val="18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Element systemu pełniący funkcję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Firewal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musi posiadać wbudowane narzędzia diagnostyczne, przynajmniej: ping,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traceroute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, podglądu pakietów, monitorowanie procesowania sesji oraz stanu sesji firewall.</w:t>
            </w:r>
          </w:p>
          <w:p w:rsidR="00853DE7" w:rsidRPr="0050012C" w:rsidRDefault="00853DE7" w:rsidP="001F149C">
            <w:pPr>
              <w:numPr>
                <w:ilvl w:val="0"/>
                <w:numId w:val="18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Element systemu realizujący funkcję firewall musi umożliwiać wykonanie szeregu zmian przez administratora w CLI lub GUI, które nie zostaną zaimplementowane zanim nie zostaną zatwierdzone.</w:t>
            </w:r>
          </w:p>
        </w:tc>
      </w:tr>
      <w:tr w:rsidR="00853DE7" w:rsidRPr="0050012C" w:rsidTr="001F149C">
        <w:tc>
          <w:tcPr>
            <w:tcW w:w="2263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Logowanie</w:t>
            </w:r>
          </w:p>
        </w:tc>
        <w:tc>
          <w:tcPr>
            <w:tcW w:w="7626" w:type="dxa"/>
            <w:shd w:val="clear" w:color="auto" w:fill="auto"/>
          </w:tcPr>
          <w:p w:rsidR="00853DE7" w:rsidRPr="0050012C" w:rsidRDefault="00853DE7" w:rsidP="001F149C">
            <w:pPr>
              <w:numPr>
                <w:ilvl w:val="0"/>
                <w:numId w:val="19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W ramach logowania system pełniący funkcję firewall musi zapewniać przekazywanie danych o zaakceptowanym ruchu, ruchu blokowanym, aktywności administratorów, zużyciu zasobów oraz stanie pracy systemu. Musi być zapewniona możliwość jednoczesnego wysyłania logów do wielu serwerów logowania.</w:t>
            </w:r>
          </w:p>
          <w:p w:rsidR="00853DE7" w:rsidRPr="0050012C" w:rsidRDefault="00853DE7" w:rsidP="001F149C">
            <w:pPr>
              <w:numPr>
                <w:ilvl w:val="0"/>
                <w:numId w:val="19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Logowanie musi obejmować zdarzenia dotyczące wszystkich modułów sieciowych i bezpieczeństwa oferowanego systemu.</w:t>
            </w:r>
          </w:p>
          <w:p w:rsidR="00853DE7" w:rsidRPr="0050012C" w:rsidRDefault="00853DE7" w:rsidP="001F149C">
            <w:pPr>
              <w:numPr>
                <w:ilvl w:val="0"/>
                <w:numId w:val="19"/>
              </w:numPr>
              <w:spacing w:before="0" w:after="0" w:line="276" w:lineRule="auto"/>
              <w:ind w:left="344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Musi istnieć możliwość logowania do serwera SYSLOG.</w:t>
            </w:r>
          </w:p>
        </w:tc>
      </w:tr>
      <w:tr w:rsidR="00853DE7" w:rsidRPr="0050012C" w:rsidTr="001F149C">
        <w:tc>
          <w:tcPr>
            <w:tcW w:w="2263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Pozostałe wymagania</w:t>
            </w:r>
          </w:p>
        </w:tc>
        <w:tc>
          <w:tcPr>
            <w:tcW w:w="7626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W okresie obowiązywania gwarancji wszystkie funkcje bezpieczeństwa realizowane przez urządzenie muszą być dostępne bezpłatnie dla Zamawiającego, bez konieczności zakupu dodatkowych usług czy licencji subskrypcyjnych co najmniej w zakresie:</w:t>
            </w:r>
          </w:p>
          <w:p w:rsidR="00853DE7" w:rsidRPr="0050012C" w:rsidRDefault="00853DE7" w:rsidP="001F149C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kontroli aplikacji,</w:t>
            </w:r>
          </w:p>
          <w:p w:rsidR="00853DE7" w:rsidRPr="0050012C" w:rsidRDefault="00853DE7" w:rsidP="001F149C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systemu zapobiegania włamaniom (IPS),</w:t>
            </w:r>
          </w:p>
          <w:p w:rsidR="00853DE7" w:rsidRPr="0050012C" w:rsidRDefault="00853DE7" w:rsidP="001F149C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ochrony antywirusowej (z uwzględnieniem sygnatur dla urządzeń mobilnych – co najmniej dla systemu Android),</w:t>
            </w:r>
          </w:p>
          <w:p w:rsidR="00853DE7" w:rsidRPr="0050012C" w:rsidRDefault="00853DE7" w:rsidP="001F149C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analizy zagrożeń w środowisku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sandbox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,</w:t>
            </w:r>
          </w:p>
          <w:p w:rsidR="00853DE7" w:rsidRPr="0050012C" w:rsidRDefault="00853DE7" w:rsidP="001F149C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ochrony antyspamowej,</w:t>
            </w:r>
          </w:p>
          <w:p w:rsidR="00853DE7" w:rsidRPr="0050012C" w:rsidRDefault="00853DE7" w:rsidP="001F149C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filtrowania treści WWW,</w:t>
            </w:r>
          </w:p>
          <w:p w:rsidR="00853DE7" w:rsidRPr="0050012C" w:rsidRDefault="00853DE7" w:rsidP="001F149C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baz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reputacyjnych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adresów IP i domen,</w:t>
            </w:r>
          </w:p>
          <w:p w:rsidR="00853DE7" w:rsidRPr="0050012C" w:rsidRDefault="00853DE7" w:rsidP="001F149C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filtrowania DNS na poziomie żądania nazwy domenowej,</w:t>
            </w:r>
          </w:p>
          <w:p w:rsidR="00853DE7" w:rsidRPr="0050012C" w:rsidRDefault="00853DE7" w:rsidP="001F149C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lastRenderedPageBreak/>
              <w:t xml:space="preserve">ochrony przed połączeniami z infrastrukturą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botnetów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,</w:t>
            </w:r>
          </w:p>
          <w:p w:rsidR="00853DE7" w:rsidRPr="0050012C" w:rsidRDefault="00853DE7" w:rsidP="001F149C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filtrowania treści wideo oraz kontrolę dostępu do multimediów,</w:t>
            </w:r>
          </w:p>
          <w:p w:rsidR="00853DE7" w:rsidRPr="0050012C" w:rsidRDefault="00853DE7" w:rsidP="001F149C">
            <w:pPr>
              <w:pStyle w:val="Akapitzlist"/>
              <w:numPr>
                <w:ilvl w:val="0"/>
                <w:numId w:val="1"/>
              </w:num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inspekcji zaszyfrowanego ruchu HTTPS z automatycznymi aktualizacjami polityk.</w:t>
            </w:r>
          </w:p>
        </w:tc>
      </w:tr>
      <w:tr w:rsidR="00853DE7" w:rsidRPr="0050012C" w:rsidTr="001F149C">
        <w:trPr>
          <w:trHeight w:val="1399"/>
        </w:trPr>
        <w:tc>
          <w:tcPr>
            <w:tcW w:w="2263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lastRenderedPageBreak/>
              <w:t>Gwarancja</w:t>
            </w:r>
          </w:p>
        </w:tc>
        <w:tc>
          <w:tcPr>
            <w:tcW w:w="7626" w:type="dxa"/>
            <w:shd w:val="clear" w:color="auto" w:fill="auto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Gwarancja producenta na okres co najmniej 24 miesiące.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W okresie gwarancji usługi serwisu muszą obejmować całodobowe przyjmowanie zgłoszeń (24x7) oraz realizację wymiany sprzętu poprzez dostarczenie części zamiennych do miejsca instalacji urządzenia najpóźniej do końca następnego dnia roboczego.</w:t>
            </w:r>
          </w:p>
        </w:tc>
      </w:tr>
    </w:tbl>
    <w:p w:rsidR="001F149C" w:rsidRPr="0050012C" w:rsidRDefault="001F149C" w:rsidP="00853DE7">
      <w:pPr>
        <w:pStyle w:val="Nagwek1"/>
        <w:spacing w:before="0" w:after="0" w:line="360" w:lineRule="auto"/>
        <w:jc w:val="both"/>
        <w:rPr>
          <w:rFonts w:ascii="Verdana" w:hAnsi="Verdana"/>
          <w:sz w:val="20"/>
          <w:szCs w:val="20"/>
        </w:rPr>
      </w:pPr>
    </w:p>
    <w:p w:rsidR="00853DE7" w:rsidRPr="0050012C" w:rsidRDefault="00853DE7" w:rsidP="000369DB">
      <w:pPr>
        <w:pStyle w:val="numeracja2"/>
      </w:pPr>
      <w:r w:rsidRPr="0050012C">
        <w:t xml:space="preserve">Zakup serwera NAS </w:t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2235"/>
        <w:gridCol w:w="7654"/>
      </w:tblGrid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0012C">
              <w:rPr>
                <w:rFonts w:ascii="Verdana" w:hAnsi="Verdana"/>
                <w:b/>
                <w:sz w:val="20"/>
                <w:szCs w:val="20"/>
              </w:rPr>
              <w:t>Obszar wymagań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0012C">
              <w:rPr>
                <w:rFonts w:ascii="Verdana" w:hAnsi="Verdana"/>
                <w:b/>
                <w:sz w:val="20"/>
                <w:szCs w:val="20"/>
              </w:rPr>
              <w:t>Wymagania minimalne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Budowa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Obudowa przystosowana do montażu w szafie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rack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19” zajmująca maksymalnie 2U, wraz z szynami montażowymi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Redundantne wentylatory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Procesor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Wielordzeniowy procesor 64-bitowy, uzyskujący wynik co najmniej 4000 punktów w teście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PassMark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- CPU Mark według wyników dostępnych na stronie http://www.cpubenchmark.net 30 dni przed terminem składania ofert lub później. 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Do oferty należy załączyć wydruk z ww. strony, dopuszcza się wydruk w języku angielskim.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Pamięć RAM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Zainstalowane co najmniej 4 GB pamięci RAM. Możliwość rozbudowy do 64 GB pamięci RAM lub więcej.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Obsługa dysków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Ilość kieszeni dysków: co najmniej 8.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Obsługiwane typy dysków: Obsługa dysków hot-plug: 3,5” SATA, 2,5” SATA SSD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Możliwość instalacji co najmniej 2 dysków M.2 </w:t>
            </w:r>
            <w:proofErr w:type="spellStart"/>
            <w:r w:rsidRPr="0050012C">
              <w:rPr>
                <w:rFonts w:ascii="Verdana" w:hAnsi="Verdana"/>
                <w:bCs/>
                <w:sz w:val="20"/>
                <w:szCs w:val="20"/>
              </w:rPr>
              <w:t>PCIe</w:t>
            </w:r>
            <w:proofErr w:type="spellEnd"/>
            <w:r w:rsidRPr="0050012C">
              <w:rPr>
                <w:rFonts w:ascii="Verdana" w:hAnsi="Verdana"/>
                <w:bCs/>
                <w:sz w:val="20"/>
                <w:szCs w:val="20"/>
              </w:rPr>
              <w:t xml:space="preserve"> generacji co najmniej 3.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Zamontowane dyski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Zamontowane: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8 dysków HDD 3,5” SATA III o pojemności co najmniej 12 TB każdy i deklarowanym średnim czasem bezawaryjnej pracy co najmniej 2 mln godzin.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Oferowane dyski muszą znajdować się na liście kompatybilności producenta urządzenia dyskowego NAS.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RAID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Obsługa RAID co najmniej: JBOD, Single, RAID 0, 1, 5, 6, 10, 50, 60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Obsługiwane systemy plików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50012C">
              <w:rPr>
                <w:rFonts w:ascii="Verdana" w:hAnsi="Verdana"/>
                <w:sz w:val="20"/>
                <w:szCs w:val="20"/>
                <w:lang w:val="en-US"/>
              </w:rPr>
              <w:t>EXT3, EXT4, NTFS, FAT32, HFS+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Obsługiwane protokoły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50012C">
              <w:rPr>
                <w:rFonts w:ascii="Verdana" w:hAnsi="Verdana"/>
                <w:sz w:val="20"/>
                <w:szCs w:val="20"/>
                <w:lang w:val="en-US"/>
              </w:rPr>
              <w:t>SSH, Telnet, HTTP(S), FTP, CIFS/SMB, AFP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Funkcje i usługi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r w:rsidRPr="0050012C">
              <w:rPr>
                <w:rFonts w:ascii="Verdana" w:hAnsi="Verdana"/>
                <w:sz w:val="20"/>
                <w:szCs w:val="20"/>
                <w:lang w:val="en-US"/>
              </w:rPr>
              <w:t>iSCSI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  <w:lang w:val="en-US"/>
              </w:rPr>
              <w:t xml:space="preserve"> Service,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  <w:lang w:val="en-US"/>
              </w:rPr>
              <w:t>Serwer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  <w:lang w:val="en-US"/>
              </w:rPr>
              <w:t xml:space="preserve"> LDAP, DDNS,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  <w:lang w:val="en-US"/>
              </w:rPr>
              <w:t>serwerplików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  <w:lang w:val="en-US"/>
              </w:rPr>
              <w:t>serwer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  <w:lang w:val="en-US"/>
              </w:rPr>
              <w:t xml:space="preserve"> FTP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Porty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Co najmniej 2 porty 2,5GbE Base-T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Co najmniej 4 porty USB 3.x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Zasilanie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Wbudowane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reduntantne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zasilacze, każdy o mocy maksymalnej nie przekraczającej 250W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Zgodność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r w:rsidRPr="0050012C">
              <w:rPr>
                <w:rFonts w:ascii="Verdana" w:hAnsi="Verdana"/>
                <w:sz w:val="20"/>
                <w:szCs w:val="20"/>
                <w:lang w:val="en-US"/>
              </w:rPr>
              <w:t>VMWare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  <w:lang w:val="en-US"/>
              </w:rPr>
              <w:t xml:space="preserve">, Microsoft Hyper-V, Windows Server 2022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  <w:lang w:val="en-US"/>
              </w:rPr>
              <w:t>i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  <w:lang w:val="en-US"/>
              </w:rPr>
              <w:t xml:space="preserve"> 2025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Gwarancja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Gwarancja producenta co najmniej 36 miesięcy. </w:t>
            </w:r>
          </w:p>
        </w:tc>
      </w:tr>
    </w:tbl>
    <w:p w:rsidR="001F149C" w:rsidRPr="0050012C" w:rsidRDefault="001F149C" w:rsidP="00853DE7">
      <w:pPr>
        <w:pStyle w:val="Nagwek1"/>
        <w:spacing w:before="0" w:after="0" w:line="360" w:lineRule="auto"/>
        <w:jc w:val="both"/>
        <w:rPr>
          <w:rFonts w:ascii="Verdana" w:hAnsi="Verdana"/>
          <w:sz w:val="20"/>
          <w:szCs w:val="20"/>
        </w:rPr>
      </w:pPr>
    </w:p>
    <w:p w:rsidR="00853DE7" w:rsidRPr="0050012C" w:rsidRDefault="00853DE7" w:rsidP="000369DB">
      <w:pPr>
        <w:pStyle w:val="numeracja2"/>
      </w:pPr>
      <w:r w:rsidRPr="0050012C">
        <w:t>Zakup serwera do archiwizacji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235"/>
        <w:gridCol w:w="7619"/>
      </w:tblGrid>
      <w:tr w:rsidR="00853DE7" w:rsidRPr="0050012C" w:rsidTr="001F149C">
        <w:trPr>
          <w:trHeight w:val="20"/>
        </w:trPr>
        <w:tc>
          <w:tcPr>
            <w:tcW w:w="1134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0012C">
              <w:rPr>
                <w:rFonts w:ascii="Verdana" w:hAnsi="Verdana"/>
                <w:b/>
                <w:sz w:val="20"/>
                <w:szCs w:val="20"/>
              </w:rPr>
              <w:t>Obszar wymagań</w:t>
            </w:r>
          </w:p>
        </w:tc>
        <w:tc>
          <w:tcPr>
            <w:tcW w:w="3866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0012C">
              <w:rPr>
                <w:rFonts w:ascii="Verdana" w:hAnsi="Verdana"/>
                <w:b/>
                <w:sz w:val="20"/>
                <w:szCs w:val="20"/>
              </w:rPr>
              <w:t>Wymagania minimalne</w:t>
            </w:r>
          </w:p>
        </w:tc>
      </w:tr>
      <w:tr w:rsidR="00853DE7" w:rsidRPr="0050012C" w:rsidTr="001F149C">
        <w:trPr>
          <w:trHeight w:val="20"/>
        </w:trPr>
        <w:tc>
          <w:tcPr>
            <w:tcW w:w="1134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Obudowa</w:t>
            </w:r>
          </w:p>
        </w:tc>
        <w:tc>
          <w:tcPr>
            <w:tcW w:w="3866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Typu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rack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o wysokości maksymalnie 1U z możliwością instalacji do 8 dysków 2.5" Hot-Plug, z kompletem szyn umożliwiających montaż w szafie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rack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i wysuwanie serwera do celów serwisowych.</w:t>
            </w:r>
          </w:p>
        </w:tc>
      </w:tr>
      <w:tr w:rsidR="00853DE7" w:rsidRPr="0050012C" w:rsidTr="001F149C">
        <w:trPr>
          <w:trHeight w:val="20"/>
        </w:trPr>
        <w:tc>
          <w:tcPr>
            <w:tcW w:w="1134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Płyta główna</w:t>
            </w:r>
          </w:p>
        </w:tc>
        <w:tc>
          <w:tcPr>
            <w:tcW w:w="3866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Umożliwiająca zainstalowanie dwóch procesorów.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Chipset dedykowany przez producenta procesora do pracy w serwerach dwuprocesorowych.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Możliwość obsługi do 1TB pamięci RAM lub więcej.</w:t>
            </w:r>
          </w:p>
        </w:tc>
      </w:tr>
      <w:tr w:rsidR="00853DE7" w:rsidRPr="0050012C" w:rsidTr="001F149C">
        <w:trPr>
          <w:trHeight w:val="20"/>
        </w:trPr>
        <w:tc>
          <w:tcPr>
            <w:tcW w:w="1134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Procesor</w:t>
            </w:r>
          </w:p>
        </w:tc>
        <w:tc>
          <w:tcPr>
            <w:tcW w:w="3866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Zainstalowanedwa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procesoryośmiordzeniowe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klasy x86 dedykowane do pracy z oferowanym serwerem, umożliwiające osiągnięcie przez serwer wyniku co najmniej 165 punktów w teście SPECrate2017_int_base według wyników publikowanych na stronie </w:t>
            </w:r>
            <w:hyperlink r:id="rId12" w:history="1">
              <w:r w:rsidRPr="0050012C">
                <w:rPr>
                  <w:rStyle w:val="Hipercze"/>
                  <w:rFonts w:ascii="Verdana" w:eastAsiaTheme="majorEastAsia" w:hAnsi="Verdana"/>
                  <w:color w:val="auto"/>
                  <w:sz w:val="20"/>
                  <w:szCs w:val="20"/>
                </w:rPr>
                <w:t>www.spec.org</w:t>
              </w:r>
            </w:hyperlink>
            <w:r w:rsidRPr="0050012C">
              <w:rPr>
                <w:rFonts w:ascii="Verdana" w:hAnsi="Verdana"/>
                <w:sz w:val="20"/>
                <w:szCs w:val="20"/>
              </w:rPr>
              <w:t xml:space="preserve">. 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Do oferty należy załączyć wydruk z ww. strony, dopuszcza się wydruk w języku angielskim.</w:t>
            </w:r>
          </w:p>
        </w:tc>
      </w:tr>
      <w:tr w:rsidR="00853DE7" w:rsidRPr="0050012C" w:rsidTr="001F149C">
        <w:trPr>
          <w:trHeight w:val="20"/>
        </w:trPr>
        <w:tc>
          <w:tcPr>
            <w:tcW w:w="1134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Pamięć RAM</w:t>
            </w:r>
          </w:p>
        </w:tc>
        <w:tc>
          <w:tcPr>
            <w:tcW w:w="3866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Zainstalowane co najmniej 256 GB DDR5 RDIMM co najmniej 5600MT/s.</w:t>
            </w:r>
          </w:p>
        </w:tc>
      </w:tr>
      <w:tr w:rsidR="00853DE7" w:rsidRPr="0050012C" w:rsidTr="001F149C">
        <w:trPr>
          <w:trHeight w:val="20"/>
        </w:trPr>
        <w:tc>
          <w:tcPr>
            <w:tcW w:w="1134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Grafika</w:t>
            </w:r>
          </w:p>
        </w:tc>
        <w:tc>
          <w:tcPr>
            <w:tcW w:w="3866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Zintegrowana karta graficzna umożliwiająca wyświetlenie rozdzielczości co najmniej 1920 x 1200</w:t>
            </w:r>
          </w:p>
        </w:tc>
      </w:tr>
      <w:tr w:rsidR="00853DE7" w:rsidRPr="0050012C" w:rsidTr="001F149C">
        <w:trPr>
          <w:trHeight w:val="20"/>
        </w:trPr>
        <w:tc>
          <w:tcPr>
            <w:tcW w:w="1134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Sieć</w:t>
            </w:r>
          </w:p>
        </w:tc>
        <w:tc>
          <w:tcPr>
            <w:tcW w:w="3866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Co najmniej: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2 interfejsy sieciowe 1Gb Ethernet w standardzie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BaseT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oraz 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4 interfejsy sieciowe 10/25Gb Ethernet w standardzie SFP28.</w:t>
            </w:r>
          </w:p>
        </w:tc>
      </w:tr>
      <w:tr w:rsidR="00853DE7" w:rsidRPr="0050012C" w:rsidTr="001F149C">
        <w:trPr>
          <w:trHeight w:val="20"/>
        </w:trPr>
        <w:tc>
          <w:tcPr>
            <w:tcW w:w="1134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Dyski twarde</w:t>
            </w:r>
          </w:p>
        </w:tc>
        <w:tc>
          <w:tcPr>
            <w:tcW w:w="3866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Możliwość instalacji dysków SATA, SAS, SSD. 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Zainstalowane 3 dyski Hot-Plug SSD z interfejsem SAS o pojemności co najmniej 1,92 TB każdy oraz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Zainstalowane 4 dyski Hot-Plug z interfejsem SAS o prędkości obrotowej co najmniej 10 tys.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obr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./min. pojemności co najmniej 2,4 TB każdy.</w:t>
            </w:r>
          </w:p>
        </w:tc>
      </w:tr>
      <w:tr w:rsidR="00853DE7" w:rsidRPr="0050012C" w:rsidTr="001F149C">
        <w:trPr>
          <w:trHeight w:val="20"/>
        </w:trPr>
        <w:tc>
          <w:tcPr>
            <w:tcW w:w="1134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Kontroler dyskowy</w:t>
            </w:r>
          </w:p>
        </w:tc>
        <w:tc>
          <w:tcPr>
            <w:tcW w:w="3866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Sprzętowy kontroler dyskowy z nieulotną pamięcią cache co najmniej 8GB, możliwe konfiguracje poziomów RAID: 0, 1, 5, 6, 10, 50, 60.</w:t>
            </w:r>
          </w:p>
        </w:tc>
      </w:tr>
      <w:tr w:rsidR="00853DE7" w:rsidRPr="0050012C" w:rsidTr="001F149C">
        <w:trPr>
          <w:trHeight w:val="20"/>
        </w:trPr>
        <w:tc>
          <w:tcPr>
            <w:tcW w:w="1134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Porty</w:t>
            </w:r>
          </w:p>
        </w:tc>
        <w:tc>
          <w:tcPr>
            <w:tcW w:w="3866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Co najmniej 3 zewnętrzne porty USB, w tym co najmniej 1 port USB 3.x.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Co najmniej 2 porty VGA, w tym co najmniej 1 port na panelu przednim.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Możliwość rozbudowy o port RS232.</w:t>
            </w:r>
          </w:p>
        </w:tc>
      </w:tr>
      <w:tr w:rsidR="00853DE7" w:rsidRPr="0050012C" w:rsidTr="001F149C">
        <w:trPr>
          <w:trHeight w:val="20"/>
        </w:trPr>
        <w:tc>
          <w:tcPr>
            <w:tcW w:w="1134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Zasilanie</w:t>
            </w:r>
          </w:p>
        </w:tc>
        <w:tc>
          <w:tcPr>
            <w:tcW w:w="3866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Redundantne zasilacze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hotplug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o mocy nie większej niż 700W każdy.</w:t>
            </w:r>
          </w:p>
        </w:tc>
      </w:tr>
      <w:tr w:rsidR="00853DE7" w:rsidRPr="0050012C" w:rsidTr="001F149C">
        <w:trPr>
          <w:trHeight w:val="20"/>
        </w:trPr>
        <w:tc>
          <w:tcPr>
            <w:tcW w:w="1134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Zarządzanie</w:t>
            </w:r>
          </w:p>
        </w:tc>
        <w:tc>
          <w:tcPr>
            <w:tcW w:w="3866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Dedykowany moduł zdalnego zarządzania, diagnostyki i monitorowania pracy serwera, niezależny od systemu operacyjnego, posiadający dedykowany port 1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GbE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853DE7" w:rsidRPr="0050012C" w:rsidTr="001F149C">
        <w:trPr>
          <w:trHeight w:val="20"/>
        </w:trPr>
        <w:tc>
          <w:tcPr>
            <w:tcW w:w="1134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Bezpieczeństwo, diagnostyka</w:t>
            </w:r>
          </w:p>
        </w:tc>
        <w:tc>
          <w:tcPr>
            <w:tcW w:w="3866" w:type="pct"/>
          </w:tcPr>
          <w:p w:rsidR="00853DE7" w:rsidRPr="0050012C" w:rsidRDefault="00853DE7" w:rsidP="001F149C">
            <w:pPr>
              <w:numPr>
                <w:ilvl w:val="0"/>
                <w:numId w:val="30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Blokada na ramce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panela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zamykana na klucz służąca do ochrony nieautoryzowanego dostępu do dysków twardych. </w:t>
            </w:r>
          </w:p>
          <w:p w:rsidR="00853DE7" w:rsidRPr="0050012C" w:rsidRDefault="00853DE7" w:rsidP="001F149C">
            <w:pPr>
              <w:numPr>
                <w:ilvl w:val="0"/>
                <w:numId w:val="30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Wbudowany czujnik otwarcia obudowy współpracujący z BIOS i kartą zarządzającą. </w:t>
            </w:r>
          </w:p>
          <w:p w:rsidR="00853DE7" w:rsidRPr="0050012C" w:rsidRDefault="00853DE7" w:rsidP="001F149C">
            <w:pPr>
              <w:numPr>
                <w:ilvl w:val="0"/>
                <w:numId w:val="30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Moduł TPM 2.0</w:t>
            </w:r>
          </w:p>
          <w:p w:rsidR="00853DE7" w:rsidRPr="0050012C" w:rsidRDefault="00853DE7" w:rsidP="001F149C">
            <w:pPr>
              <w:numPr>
                <w:ilvl w:val="0"/>
                <w:numId w:val="30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Panel LCD umieszczony na froncie obudowy, pozwalający jednoznacznie stwierdzić, czy system działa poprawnie i pokazujący podstawowe stany działania serwera w tym adres IP karty zarządzającej.</w:t>
            </w:r>
          </w:p>
          <w:p w:rsidR="00853DE7" w:rsidRPr="0050012C" w:rsidRDefault="00853DE7" w:rsidP="001F149C">
            <w:pPr>
              <w:numPr>
                <w:ilvl w:val="0"/>
                <w:numId w:val="30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Obudowa wyposażona w kartę umożliwiającą dostęp bezpośredni </w:t>
            </w:r>
            <w:r w:rsidRPr="0050012C">
              <w:rPr>
                <w:rFonts w:ascii="Verdana" w:hAnsi="Verdana"/>
                <w:sz w:val="20"/>
                <w:szCs w:val="20"/>
              </w:rPr>
              <w:lastRenderedPageBreak/>
              <w:t xml:space="preserve">poprzez urządzenia mobilne - serwer musi posiadać możliwość konfiguracji oraz monitoringu najważniejszych komponentów serwera przy użyciu dedykowanej aplikacji mobilnej działającej co najmniej na urządzeniach Android i Apple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iOS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przy użyciu Bluetooth LE lub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WiFi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853DE7" w:rsidRPr="0050012C" w:rsidTr="001F149C">
        <w:trPr>
          <w:trHeight w:val="20"/>
        </w:trPr>
        <w:tc>
          <w:tcPr>
            <w:tcW w:w="1134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lastRenderedPageBreak/>
              <w:t>System operacyjny</w:t>
            </w:r>
          </w:p>
        </w:tc>
        <w:tc>
          <w:tcPr>
            <w:tcW w:w="3866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Zainstalowany na serwerze system operacyjny, kompatybilny z oferowanym serwerem, spełniający nw. wymagania minimalne: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Możliwość wykorzystania 320 logicznych procesorów oraz co najmniej 4 TB pamięci RAM w środowisku fizycznym. 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Możliwość wykorzystywania 64 procesorów wirtualnych oraz 1TB pamięci RAM i dysku o pojemności do 64TB przez każdy wirtualny serwerowy system operacyjny. 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Możliwość migracji maszyn wirtualnych bez zatrzymywania ich pracy między fizycznymi serwerami z uruchomionym mechanizmem wirtualizacji (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hypervisor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) przez sieć Ethernet, bez konieczności stosowania dodatkowych mechanizmów współdzielenia pamięci. 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Wsparcie (na umożliwiającym to sprzęcie) dodawania i wymiany pamięci RAM bez przerywania pracy. 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Wsparcie (na umożliwiającym to sprzęcie) dodawania i wymiany procesorów bez przerywania pracy. 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Automatyczna weryfikacja cyfrowych sygnatur sterowników w celu sprawdzenia, czy sterownik przeszedł testy jakości przeprowadzone przez producenta systemu operacyjnego. 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Możliwość dynamicznego obniżania poboru energii przez rdzenie procesorów niewykorzystywane w bieżącej pracy. Mechanizm ten musi uwzględniać specyfikę procesorów wyposażonych w mechanizmy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Hyper-Threading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. 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Wbudowane wsparcie instalacji i pracy na wolumenach, które: </w:t>
            </w:r>
          </w:p>
          <w:p w:rsidR="00853DE7" w:rsidRPr="0050012C" w:rsidRDefault="00853DE7" w:rsidP="001F149C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pozwalają na zmianę rozmiaru w czasie pracy systemu, </w:t>
            </w:r>
          </w:p>
          <w:p w:rsidR="00853DE7" w:rsidRPr="0050012C" w:rsidRDefault="00853DE7" w:rsidP="001F149C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umożliwiają tworzenie w czasie pracy systemu migawek, dających użytkownikom końcowym (lokalnym i sieciowym) prosty wgląd w poprzednie wersje plików i folderów, </w:t>
            </w:r>
          </w:p>
          <w:p w:rsidR="00853DE7" w:rsidRPr="0050012C" w:rsidRDefault="00853DE7" w:rsidP="001F149C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umożliwiają kompresję "w locie" dla wybranych plików i/lub folderów, </w:t>
            </w:r>
          </w:p>
          <w:p w:rsidR="00853DE7" w:rsidRPr="0050012C" w:rsidRDefault="00853DE7" w:rsidP="001F149C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umożliwiają zdefiniowanie list kontroli dostępu (ACL). 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Wbudowany mechanizm klasyfikowania i indeksowania plików (dokumentów) w oparciu o ich zawartość. 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Możliwość uruchamianie aplikacji internetowych wykorzystujących technologię ASP.NET 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Możliwość dystrybucji ruchu sieciowego HTTP pomiędzy kilka serwerów. 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Wbudowana zapora internetowa (firewall) z obsługą definiowanych reguł dla ochrony połączeń internetowych i intranetowych. 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Graficzny interfejs użytkownika, umożliwiający obsługę przy pomocy klawiatury i myszy.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Zlokalizowane w języku polskim, co najmniej następujące elementy: menu, przeglądarka internetowa, pomoc, komunikaty systemowe, 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Mechanizmy logowania w oparciu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ologin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i hasło.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lastRenderedPageBreak/>
              <w:t xml:space="preserve">Wsparcie dla większości powszechnie używanych urządzeń peryferyjnych (drukarek, urządzeń sieciowych, standardów USB,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Plug&amp;Play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). 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Możliwość zdalnej konfiguracji, administrowania oraz aktualizowania systemu. 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Dostępność bezpłatnych narzędzi producenta systemu umożliwiających badanie i wdrażanie zdefiniowanego zestawu polityk bezpieczeństwa. 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Pochodzący od producenta systemu serwis zarządzania polityką dostępu do informacji w dokumentach (Digital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Rights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Management). 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Wsparcie dla środowisk Java i .NET Framework 4.x – możliwość uruchomienia aplikacji działających we wskazanych środowiskach. 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Możliwość implementacji następujących funkcjonalności bez potrzeby instalowania dodatkowych produktów (oprogramowania) innych producentów wymagających dodatkowych licencji: </w:t>
            </w:r>
          </w:p>
          <w:p w:rsidR="00853DE7" w:rsidRPr="0050012C" w:rsidRDefault="00853DE7" w:rsidP="001F149C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Podstawowe usługi sieciowe: DHCP oraz DNS wspierający DNSSEC, </w:t>
            </w:r>
          </w:p>
          <w:p w:rsidR="00853DE7" w:rsidRPr="0050012C" w:rsidRDefault="00853DE7" w:rsidP="001F149C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Usługi katalogowe oparte o LDAP i pozwalające na uwierzytelnianie użytkowników stacji roboczych, bez konieczności instalowania dodatkowego oprogramowania na tych stacjach, pozwalające na zarządzanie zasobami w sieci (użytkownicy, komputery, drukarki, udziały sieciowe), z możliwością wykorzystania następujących funkcji: </w:t>
            </w:r>
          </w:p>
          <w:p w:rsidR="00853DE7" w:rsidRPr="0050012C" w:rsidRDefault="00853DE7" w:rsidP="001F149C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Podłączenie do domeny w trybie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offline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– bez dostępnego połączenia sieciowego z domeną, </w:t>
            </w:r>
          </w:p>
          <w:p w:rsidR="00853DE7" w:rsidRPr="0050012C" w:rsidRDefault="00853DE7" w:rsidP="001F149C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Ustanawianie praw dostępu do zasobów domeny na bazie sposobu logowania użytkownika – na przykład typu certyfikatu użytego do logowania, </w:t>
            </w:r>
          </w:p>
          <w:p w:rsidR="00853DE7" w:rsidRPr="0050012C" w:rsidRDefault="00853DE7" w:rsidP="001F149C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Odzyskiwanie przypadkowo skasowanych obiektów usługi katalogowej z mechanizmu kosza. </w:t>
            </w:r>
          </w:p>
          <w:p w:rsidR="00853DE7" w:rsidRPr="0050012C" w:rsidRDefault="00853DE7" w:rsidP="001F149C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Bezpieczny mechanizm dołączania do domeny uprawnionych użytkowników prywatnych urządzeń mobilnych opartych o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iOS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i Windows 10 i wyższych. </w:t>
            </w:r>
          </w:p>
          <w:p w:rsidR="00853DE7" w:rsidRPr="0050012C" w:rsidRDefault="00853DE7" w:rsidP="001F149C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Zdalna dystrybucja oprogramowania na stacje robocze. </w:t>
            </w:r>
          </w:p>
          <w:p w:rsidR="00853DE7" w:rsidRPr="0050012C" w:rsidRDefault="00853DE7" w:rsidP="001F149C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Praca zdalna na serwerze z wykorzystaniem terminala (cienkiego klienta) lub odpowiednio skonfigurowanej stacji roboczej. </w:t>
            </w:r>
          </w:p>
          <w:p w:rsidR="00853DE7" w:rsidRPr="0050012C" w:rsidRDefault="00853DE7" w:rsidP="001F149C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Centrum Certyfikatów (CA), obsługa klucza publicznego i prywatnego) umożliwiające: </w:t>
            </w:r>
          </w:p>
          <w:p w:rsidR="00853DE7" w:rsidRPr="0050012C" w:rsidRDefault="00853DE7" w:rsidP="001F149C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dystrybucję certyfikatów poprzez http,</w:t>
            </w:r>
          </w:p>
          <w:p w:rsidR="00853DE7" w:rsidRPr="0050012C" w:rsidRDefault="00853DE7" w:rsidP="001F149C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konsolidację CA dla wielu lasów domeny, </w:t>
            </w:r>
          </w:p>
          <w:p w:rsidR="00853DE7" w:rsidRPr="0050012C" w:rsidRDefault="00853DE7" w:rsidP="001F149C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automatyczne rejestrowania certyfikatów pomiędzy różnymi lasami domen, </w:t>
            </w:r>
          </w:p>
          <w:p w:rsidR="00853DE7" w:rsidRPr="0050012C" w:rsidRDefault="00853DE7" w:rsidP="001F149C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automatyczne występowanie i używanie (wystawianie) certyfikatów PKI X.509. </w:t>
            </w:r>
          </w:p>
          <w:p w:rsidR="00853DE7" w:rsidRPr="0050012C" w:rsidRDefault="00853DE7" w:rsidP="001F149C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Szyfrowanie plików i folderów.</w:t>
            </w:r>
          </w:p>
          <w:p w:rsidR="00853DE7" w:rsidRPr="0050012C" w:rsidRDefault="00853DE7" w:rsidP="001F149C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Szyfrowanie połączeń sieciowych pomiędzy serwerami oraz serwerami i stacjami roboczymi (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IPSec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). </w:t>
            </w:r>
          </w:p>
          <w:p w:rsidR="00853DE7" w:rsidRPr="0050012C" w:rsidRDefault="00853DE7" w:rsidP="001F149C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Możliwość tworzenia systemów wysokiej dostępności (klastry typu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lastRenderedPageBreak/>
              <w:t>fail-over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) oraz rozłożenia obciążenia serwerów. </w:t>
            </w:r>
          </w:p>
          <w:p w:rsidR="00853DE7" w:rsidRPr="0050012C" w:rsidRDefault="00853DE7" w:rsidP="001F149C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Serwis udostępniania stron WWW. </w:t>
            </w:r>
          </w:p>
          <w:p w:rsidR="00853DE7" w:rsidRPr="0050012C" w:rsidRDefault="00853DE7" w:rsidP="001F149C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Wsparcie dla protokołu IP w wersji 6 (IPv6),</w:t>
            </w:r>
          </w:p>
          <w:p w:rsidR="00853DE7" w:rsidRPr="0050012C" w:rsidRDefault="00853DE7" w:rsidP="001F149C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Wsparcie dla algorytmów Suite B (RFC 4869),</w:t>
            </w:r>
          </w:p>
          <w:p w:rsidR="00853DE7" w:rsidRPr="0050012C" w:rsidRDefault="00853DE7" w:rsidP="001F149C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Wbudowane usługi VPN pozwalające na zestawienie nielimitowanej liczby równoczesnych połączeń i niewymagające instalacji dodatkowego oprogramowania na komputerach z systemem Windows, </w:t>
            </w:r>
          </w:p>
          <w:p w:rsidR="00853DE7" w:rsidRPr="0050012C" w:rsidRDefault="00853DE7" w:rsidP="001F149C">
            <w:pPr>
              <w:numPr>
                <w:ilvl w:val="1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Wbudowane mechanizmy wirtualizacji (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Hypervisor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) pozwalające na uruchamianie aktywnych środowisk wirtualnych systemów operacyjnych. Wirtualne maszyny w trakcie pracy i bez zauważalnego zmniejszenia ich dostępności mogą być przenoszone pomiędzy serwerami klastra typu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failover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z jednoczesnym zachowaniem pozostałej funkcjonalności. Mechanizmy wirtualizacji mają zapewnić wsparcie dla: </w:t>
            </w:r>
          </w:p>
          <w:p w:rsidR="00853DE7" w:rsidRPr="0050012C" w:rsidRDefault="00853DE7" w:rsidP="001F149C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Dynamicznego podłączania zasobów dyskowych typu hot-plug do maszyn wirtualnych, </w:t>
            </w:r>
          </w:p>
          <w:p w:rsidR="00853DE7" w:rsidRPr="0050012C" w:rsidRDefault="00853DE7" w:rsidP="001F149C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Obsługi ramek typu jumbo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frames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dla maszyn wirtualnych. </w:t>
            </w:r>
          </w:p>
          <w:p w:rsidR="00853DE7" w:rsidRPr="0050012C" w:rsidRDefault="00853DE7" w:rsidP="001F149C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Obsługi 4-KB sektorów dysków </w:t>
            </w:r>
          </w:p>
          <w:p w:rsidR="00853DE7" w:rsidRPr="0050012C" w:rsidRDefault="00853DE7" w:rsidP="001F149C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Nielimitowanej liczby jednocześnie przenoszonych maszyn wirtualnych pomiędzy węzłami klastra </w:t>
            </w:r>
          </w:p>
          <w:p w:rsidR="00853DE7" w:rsidRPr="0050012C" w:rsidRDefault="00853DE7" w:rsidP="001F149C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Możliwości wirtualizacji sieci z zastosowaniem przełącznika, którego funkcjonalność może być rozszerzana jednocześnie poprzez oprogramowanie kilku innych dostawców poprzez otwarty interfejs API. </w:t>
            </w:r>
          </w:p>
          <w:p w:rsidR="00853DE7" w:rsidRPr="0050012C" w:rsidRDefault="00853DE7" w:rsidP="001F149C">
            <w:pPr>
              <w:numPr>
                <w:ilvl w:val="2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Możliwości kierowania ruchu sieciowego z wielu sieci VLAN bezpośrednio do pojedynczej karty sieciowej maszyny wirtualnej (tzw.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trunkmode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) 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Możliwość automatycznej aktualizacji w oparciu o poprawki publikowane przez producenta wraz z dostępnością bezpłatnego rozwiązania producenta serwerowego systemu operacyjnego umożliwiającego lokalną dystrybucję poprawek zatwierdzonych przez administratora, bez połączenia z siecią Internet. 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Wsparcie dostępu do zasobu dyskowego poprzez wiele ścieżek (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Multipath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). 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Możliwość instalacji poprawek poprzez wgranie ich do obrazu instalacyjnego. 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Mechanizmy zdalnej administracji oraz mechanizmy (również działające zdalnie) administracji przez skrypty. 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Możliwość zarządzania przez wbudowane mechanizmy zgodne ze standardami WBEM oraz WS-Management organizacji DMTF.</w:t>
            </w:r>
          </w:p>
          <w:p w:rsidR="00853DE7" w:rsidRPr="0050012C" w:rsidRDefault="00853DE7" w:rsidP="001F149C">
            <w:pPr>
              <w:numPr>
                <w:ilvl w:val="0"/>
                <w:numId w:val="32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Zorganizowany system szkoleń i dostępne materiały edukacyjne w języku polskim.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Zaoferowana wraz z serwerem licencja na system operacyjny:</w:t>
            </w:r>
          </w:p>
          <w:p w:rsidR="00853DE7" w:rsidRPr="0050012C" w:rsidRDefault="00853DE7" w:rsidP="001F149C">
            <w:pPr>
              <w:numPr>
                <w:ilvl w:val="0"/>
                <w:numId w:val="31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musi zostać tak dobrana, aby była zgodna z zasadami licencjonowania producenta i pozwalała na legalne używanie na oferowanym serwerze,</w:t>
            </w:r>
          </w:p>
          <w:p w:rsidR="00853DE7" w:rsidRPr="0050012C" w:rsidRDefault="00853DE7" w:rsidP="001F149C">
            <w:pPr>
              <w:numPr>
                <w:ilvl w:val="0"/>
                <w:numId w:val="31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musi obejmować najnowszą wersję systemu dostępną na dzień </w:t>
            </w:r>
            <w:r w:rsidRPr="0050012C">
              <w:rPr>
                <w:rFonts w:ascii="Verdana" w:hAnsi="Verdana"/>
                <w:sz w:val="20"/>
                <w:szCs w:val="20"/>
              </w:rPr>
              <w:lastRenderedPageBreak/>
              <w:t xml:space="preserve">składania oferty oraz uprawniać do instalacji wersji poprzedniej (tzw. </w:t>
            </w:r>
            <w:proofErr w:type="spellStart"/>
            <w:r w:rsidRPr="0050012C">
              <w:rPr>
                <w:rFonts w:ascii="Verdana" w:hAnsi="Verdana"/>
                <w:i/>
                <w:iCs/>
                <w:sz w:val="20"/>
                <w:szCs w:val="20"/>
              </w:rPr>
              <w:t>downgrade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),</w:t>
            </w:r>
          </w:p>
          <w:p w:rsidR="00853DE7" w:rsidRPr="0050012C" w:rsidRDefault="00853DE7" w:rsidP="001F149C">
            <w:pPr>
              <w:numPr>
                <w:ilvl w:val="0"/>
                <w:numId w:val="31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musi uprawniać do zainstalowania serwerowego systemu operacyjnego w środowisku fizycznym oraz umożliwiać zainstalowanie instancji wirtualnych tego serwerowego systemu operacyjnego w liczbie umożliwiającej Wykonawcy zainstalowanie wszystkich elementów oprogramowania, które muszą zostać zainstalowane na serwerze w związku z realizacją zamówienia,</w:t>
            </w:r>
          </w:p>
          <w:p w:rsidR="00853DE7" w:rsidRPr="0050012C" w:rsidRDefault="00853DE7" w:rsidP="001F149C">
            <w:pPr>
              <w:numPr>
                <w:ilvl w:val="0"/>
                <w:numId w:val="31"/>
              </w:num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musi obejmować licencje dostępowe dla 40 użytkowników, jeśli takie licencje są wymagane przez producenta do dostępu do oprogramowania serwerowego.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Wymagane dostarczenie nośników instalacyjnych umożliwiających instalację zarówno najnowszej, jak i poprzedniej wersji systemu.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Do oferty należy załączyć potwierdzenie kompatybilności serwera z oferowanym systemem operacyjnym (wydruk ze strony producenta systemu operacyjnego, dopuszcza się wydruk w języku angielskim).</w:t>
            </w:r>
          </w:p>
        </w:tc>
      </w:tr>
      <w:tr w:rsidR="00853DE7" w:rsidRPr="0050012C" w:rsidTr="001F149C">
        <w:trPr>
          <w:trHeight w:val="20"/>
        </w:trPr>
        <w:tc>
          <w:tcPr>
            <w:tcW w:w="1134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lastRenderedPageBreak/>
              <w:t>Wymagania środowiskowe</w:t>
            </w:r>
          </w:p>
        </w:tc>
        <w:tc>
          <w:tcPr>
            <w:tcW w:w="3866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Oferowany serwer musi być zgodny z dyrektywą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RoHS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Unii Europejskiej o eliminacji substancji niebezpiecznych. Do oferty należy załączyć deklarację zgodności z dyrektywą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RoHS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853DE7" w:rsidRPr="0050012C" w:rsidTr="001F149C">
        <w:tc>
          <w:tcPr>
            <w:tcW w:w="1134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Warunki gwarancyjne, wsparcie techniczne</w:t>
            </w:r>
          </w:p>
        </w:tc>
        <w:tc>
          <w:tcPr>
            <w:tcW w:w="3866" w:type="pct"/>
          </w:tcPr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Co najmniej pięcioletnia gwarancja producenta, obejmująca wszystkie komponenty serwera wchodzące w skład oferowanej konfiguracji. 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Usługi serwisu gwarancyjnego muszą być realizowane w miejscu instalacji urządzenia. Czas reakcji serwisu - do końca następnego dnia roboczego.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W przypadku awarii dysków twardych dysk pozostaje u Zamawiającego.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Możliwość zgłaszania awarii 24 godziny na dobę, 7 dni w tygodniu w języku polskim poprzez ogólnopolską linię telefoniczną producenta lub dedykowany polskojęzyczny portal techniczny producenta.</w:t>
            </w:r>
          </w:p>
          <w:p w:rsidR="00853DE7" w:rsidRPr="0050012C" w:rsidRDefault="00853DE7" w:rsidP="001F149C">
            <w:pPr>
              <w:spacing w:before="0" w:after="0"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W czasie obowiązywania gwarancji na sprzęt, możliwość weryfikacji - na podstawie numeru seryjnego urządzenia - pierwotnej konfiguracji sprzętowej serwera, w tym model i typ dysków twardych, procesora, ilość fabrycznie zainstalowanej pamięci operacyjnej, czasu obowiązywania i typ udzielonej gwarancji. Usługa realizowana przez polskojęzyczny portal producenta.</w:t>
            </w:r>
          </w:p>
        </w:tc>
      </w:tr>
    </w:tbl>
    <w:p w:rsidR="00853DE7" w:rsidRPr="0050012C" w:rsidRDefault="00853DE7" w:rsidP="00853DE7">
      <w:pPr>
        <w:spacing w:before="0" w:after="0"/>
        <w:jc w:val="both"/>
        <w:rPr>
          <w:rFonts w:ascii="Verdana" w:hAnsi="Verdana"/>
          <w:sz w:val="20"/>
          <w:szCs w:val="20"/>
        </w:rPr>
      </w:pPr>
    </w:p>
    <w:p w:rsidR="00853DE7" w:rsidRPr="0050012C" w:rsidRDefault="00853DE7" w:rsidP="000369DB">
      <w:pPr>
        <w:pStyle w:val="numeracja2"/>
      </w:pPr>
      <w:r w:rsidRPr="0050012C">
        <w:t>Zakup oprogramowania do backupu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235"/>
        <w:gridCol w:w="7619"/>
      </w:tblGrid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0012C">
              <w:rPr>
                <w:rFonts w:ascii="Verdana" w:hAnsi="Verdana"/>
                <w:b/>
                <w:sz w:val="20"/>
                <w:szCs w:val="20"/>
              </w:rPr>
              <w:t>Obszar wymagań</w:t>
            </w:r>
          </w:p>
        </w:tc>
        <w:tc>
          <w:tcPr>
            <w:tcW w:w="7619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0012C">
              <w:rPr>
                <w:rFonts w:ascii="Verdana" w:hAnsi="Verdana"/>
                <w:b/>
                <w:sz w:val="20"/>
                <w:szCs w:val="20"/>
              </w:rPr>
              <w:t>Wymagania minimalne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Licencja</w:t>
            </w:r>
          </w:p>
        </w:tc>
        <w:tc>
          <w:tcPr>
            <w:tcW w:w="7619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Wymagane dostarczenie licencji wieczystej umożliwiającej ochronę 10 serwerów wirtualnych, uprawniającej do korzystania ze wsparcia producenta przez co najmniej do 30.06.2026 r.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Wymagania ogólne</w:t>
            </w:r>
          </w:p>
        </w:tc>
        <w:tc>
          <w:tcPr>
            <w:tcW w:w="7619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musi współpracować z infrastrukturą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VMwareoraz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Microsoft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Hyper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-V. Wszystkie niżej wskazane funkcjonalności muszą być dostępne na wszystkich wspieranych platformach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wirtualizacyjnych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, chyba że wyszczególniono inaczej.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Oprogramowanie musi zapewniać tworzenie kopii zapasowych z sieciowych urządzeń plikowych NAS opartych o SMB, CIFS i/lub NFS oraz bezpośrednio z serwerów plikowych opartych o Windows i Linux.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lastRenderedPageBreak/>
              <w:t>Wymagania szczegółowe</w:t>
            </w:r>
          </w:p>
        </w:tc>
        <w:tc>
          <w:tcPr>
            <w:tcW w:w="7619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Oprogramowanie musi być niezależne sprzętowo i umożliwiać wykorzystanie dowolnej platformy serwerowej i dyskowej.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musi tworzyć “samowystarczalne” archiwa do odzyskania których nie wymagana jest osobna baza danych z metadanymi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deduplikowanych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bloków.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musi pozwalać na tworzenie kopii zapasowych w trybach: pełny, pełny syntetyczny, przyrostowy i odwrotnie przyrostowy (tzw.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reverse-inremental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).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musi mieć mechanizmy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deduplikacji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i kompresji w celu zmniejszenia wielkości archiwów. Włączenie tych mechanizmów nie może skutkować utratą jakichkolwiek funkcjonalności wymienionych w tej specyfikacji.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nie może przechowywać danych o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deduplikacji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w centralnej bazie. Utrata bazy danych używanej przez oprogramowanie nie może prowadzić do utraty możliwości odtworzenia backupu. Metadane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deduplikacji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muszą być przechowywane w plikach backupu.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Oprogramowanie musi zapewniać warstwę abstrakcji nad poszczególnymi urządzeniami pamięci masowej, pozwalając utworzyć jedną wirtualną pulę pamięci na kopie zapasowe. Wymagane jest wsparcie dla nieograniczonej liczby pamięci masowych to takiej puli.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Proces migracji danych powinien być zautomatyzowany. Jedynie unikalne bloki mogą być przesyłane w celu oszczędności pasma oraz przestrzeni na przechowywane dane. Funkcjonalność ta nie może mieć wpływu na możliwości odtwarzania danych.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nie może instalować żadnych stałych agentów wymagających wdrożenia czy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upgradowania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wewnątrz maszyny wirtualnej dla jakichkolwiek funkcjonalności backupu lub odtwarzania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musi mieć możliwość uruchamiania dowolnych skryptów przed i po zadaniu backupowym lub przed i po wykonaniu zadania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snapshota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Oprogramowanie musi oferować portal samoobsługowy, umożliwiający odtwarzanie użytkownikom wirtualnych maszyn, obiektów (w tym odtwarzanie point-in-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time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).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Oprogramowanie musi zapewniać możliwość delegacji uprawnień do odtwarzania na portalu.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musi mieć możliwość integracji z innymi systemami poprzez wbudowane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RESTful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API.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musi mieć wbudowane mechanizmy backupu konfiguracji w celu prostego odtworzenia systemu po całkowitej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reinstalacji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Oprogramowanie musi mieć wbudowane mechanizmy szyfrowania zarówno plików z backupami jak i transmisji sieciowej. Włączenie szyfrowania nie może skutkować utratą jakiejkolwiek funkcjonalności wymienionej w tej specyfikacji.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Oprogramowanie musi posiadać mechanizmy chroniące przed utratą hasła szyfrowania.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musi wspierać backup maszyn wirtualnych używających współdzielonych dysków VHDX na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Hyper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-V (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shared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VHDX).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lastRenderedPageBreak/>
              <w:t>Oprogramowanie musi posiadać architekturę klient/serwer z możliwością instalacji wielu instancji konsoli administracyjnych.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lastRenderedPageBreak/>
              <w:t>Wymagania RPO</w:t>
            </w:r>
          </w:p>
        </w:tc>
        <w:tc>
          <w:tcPr>
            <w:tcW w:w="7619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musi wykorzystywać mechanizmy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Change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Block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Tracking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na wszystkich wspieranych platformach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wirtualizacyjnych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. Mechanizmy muszą być certyfikowane przez dostawcę platformy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wirtualizacyjnej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Oprogramowanie musi wykorzystywać mechanizmy śledzenia zmienionych plików przy zabezpieczaniu udziałów plikowych.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musi oferować możliwość sterowania obciążeniem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storage'u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produkcyjnego tak aby nie przekraczane były skonfigurowane przez administratora backupu poziomy latencji. Funkcjonalność ta musi być dostępna na wszystkich wspieranych platformach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wirtualizacyjnych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musi zapewniać tworzenie kopii zapasowych z bezpośrednim wykorzystaniem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snapshotów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macierzowych. Musi też zapewniać odtwarzanie maszyn wirtualnych z takich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snapshotów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. Proces wykonania kopii zapasowej nie może wymagać użycia jakichkolwiek hostów tymczasowych. Opisana funkcjonalność powinna działać w środowisku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VMware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musi posiadać wsparcie dla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VMwarevSAN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potwierdzone odpowiednią certyfikacją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VMware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Oprogramowanie musi wspierać kopiowanie backupów.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musi wspierać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BlockClone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API w przypadku użycia Windows Server z systemem pliku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ReFS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jako repozytorium backupu. Podobna funkcjonalność musi być zapewniona dla repozytoriów opartych o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linuxowy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system plików XFS.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Oprogramowanie musi mieć możliwość kopiowania backupów oraz replikacji wirtualnych maszyn z wykorzystaniem wbudowanej akceleracji WAN.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musi mieć możliwość replikacji asynchronicznej włączonych wirtualnych maszyn bezpośrednio z infrastruktury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VMwarevSphere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pomiędzy hostami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ESXi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oraz pomiędzy hostami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Hyper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-V. Dodatkowo oprogramowanie musi mieć możliwość użycia plików kopii zapasowych jako źródła replikacji.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musi mieć możliwość replikacji ciągłej, opartej o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VMware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VAIO, włączonych wirtualnych maszyn bezpośrednio z infrastruktury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VMwarevSphere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. Dla replikacji ciągłej musi być możliwość zdefiniowania dziennika pozwalającego na odzyskanie danych z dowolnego punku w ramach ustalonego parametru RPO.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Oprogramowanie musi umożliwiać przechowywanie punktów przywracania dla replik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Oprogramowanie musi umożliwiać wykorzystanie istniejących w infrastrukturze wirtualnych maszyn jako źródła do dalszej replikacji (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replicaseeding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)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musi wykorzystywać wszystkie oferowane przez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hypervisor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tryby transportu (sieć, hot-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add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, LAN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Free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-SAN)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Wymagania RTO</w:t>
            </w:r>
          </w:p>
        </w:tc>
        <w:tc>
          <w:tcPr>
            <w:tcW w:w="7619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musi umożliwiać jednoczesne uruchomienie wielu maszyn wirtualnych bezpośrednio ze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zdeduplikowanego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i skompresowanego pliku backupu, z dowolnego punktu przywracania, bez </w:t>
            </w:r>
            <w:r w:rsidRPr="0050012C">
              <w:rPr>
                <w:rFonts w:ascii="Verdana" w:hAnsi="Verdana"/>
                <w:sz w:val="20"/>
                <w:szCs w:val="20"/>
              </w:rPr>
              <w:lastRenderedPageBreak/>
              <w:t xml:space="preserve">potrzeby kopiowania jej na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storage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produkcyjny. Funkcjonalność musi być oferowana dla środowisk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Vmware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i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Hyper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-V niezależnie od rodzaju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storage’u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użytego do przechowywania kopii zapasowych.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Dodatkowo dla środowiska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vSphere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i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Hyper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-V powyższa funkcjonalność powinna umożliwiać uruchomianie backupu z innych platform (inne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wirtualizatory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, maszyny fizyczne oraz chmura publiczna).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Oprogramowanie musi pozwalać na migrację on-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line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tak uruchomionych maszyn na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storage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produkcyjny. Migracja powinna odbywać się mechanizmami wbudowanymi w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hypervisor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. Jeżeli licencja na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hypervisor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nie posiada takich funkcjonalności - oprogramowanie musi realizować taką migrację swoimi mechanizmami.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musi pozwalać na zaprezentowanie pojedynczego dysku bezpośrednio z kopii zapasowej do wybranej działającej maszyny wirtualnej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vSpehre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Oprogramowanie musi umożliwiać pełne odtworzenie wirtualnej maszyny, plików konfiguracji i dysków.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Oprogramowanie musi umożliwić odtworzenie plików na maszynę operatora, lub na serwer produkcyjny bez potrzeby użycia agenta instalowanego wewnątrz wirtualnej maszyny. Funkcjonalność ta nie powinna być ograniczona wielkością i liczbą przywracanych plików.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musi mieć możliwość odtworzenia plików bezpośrednio do maszyny wirtualnej poprzez sieć, przy pomocy API dla platformy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VMware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i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PowerShell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Direct dla platformy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Hyper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-V.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Oprogramowanie musi wspierać odtwarzanie pojedynczych plików z systemów Windows i Linux.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musi wspierać przywracanie plików z partycji Linux LVM oraz Windows Storage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Spaces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musi umożliwiać szybkie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granularne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odtwarzanie obiektów aplikacji bez użycia jakiegokolwiek agenta zainstalowanego wewnątrz maszyny wirtualnej.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musi wspierać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granularne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odtwarzanie obiektów Active Directory takich jak konta komputerów, konta użytkowników, dowolnych atrybutów, rekordów DNS zintegrowanych z AD, Microsoft System Objects, certyfikatów CA, elementów AD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Sites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. 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Oprogramowanie musi wspierać także specyficzne metody odtwarzania w tym "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reverse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CBT" oraz odtwarzanie z wykorzystaniem sieci SAN.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lastRenderedPageBreak/>
              <w:t>Wymagania ograniczenia ryzyka</w:t>
            </w:r>
          </w:p>
        </w:tc>
        <w:tc>
          <w:tcPr>
            <w:tcW w:w="7619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Oprogramowanie musi dawać możliwość stworzenia laboratorium (izolowane środowisko) dla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vSphere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i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Hyper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-V używając wirtualnych maszyn uruchamianych bezpośrednio z plików backupu.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Dla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VMware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oprogramowanie musi pozwalać na uruchomienie takiego środowiska bezpośrednio ze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snapshotów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macierzowych stworzonych na wspieranych urządzeniach.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Oprogramowanie musi umożliwiać weryfikację odtwarzalności wielu wirtualnych maszyn jednocześnie z dowolnego backupu według własnego harmonogramu w izolowanym środowisku. Testy powinny uwzględniać możliwość uruchomienia dowolnego skryptu testującego również aplikację uruchomioną na wirtualnej maszynie. Testy muszą być przeprowadzone bez interakcji z administratorem.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lastRenderedPageBreak/>
              <w:t>Oprogramowanie musi umożliwiać dwuetapowe, automatyczne, odtwarzanie maszyn wirtualnych z możliwością wstrzyknięcia dowolnego skryptu przed odtworzeniem danych do środowiska produkcyjnego.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lastRenderedPageBreak/>
              <w:t>Wymagania dla agenta</w:t>
            </w:r>
          </w:p>
        </w:tc>
        <w:tc>
          <w:tcPr>
            <w:tcW w:w="7619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Rozwiązanie musi wykonywać kopię zapasową systemu Windows oraz Linux wykorzystując agenta znajdującego się wewnątrz systemu operacyjnego.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Rozwiązanie musi wspierać systemy operacyjne Windows w wersjach klienckich oraz serwerowych.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Oprogramowanie musi wspierać odtwarzanie pojedynczych plików z systemów Windows.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Rozwiązanie musi mieć możliwość instalacji oraz zarządzania wykorzystując tryb niezależny (per agent) jak również zcentralizowany (poprzez centralną konsolę zarządzającą)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Rozwiązanie musi wspierać systemy oparte o Microsoft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Failover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Cluster.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Rozwiązanie musi wspierać zabezpieczanie do oraz odzyskiwanie z urządzeń blokowych pozwalając na odzysk całej maszyny (tzw.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bare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metal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recovery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) wybranych wolumenów, oraz wybranych plików i folderów.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Rozwiązanie musi wspierać backup podłączonych dysków USB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Kopia zapasowa całej maszyny oraz pojedynczych wolumenów musi być wykonywana na poziomie blokowym.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Rozwiązanie musi pozwalać na przechowywanie kopii zapasowych na zasobach lokalnych (wewnętrznych) dyskach zabezpieczanej maszyny, Direct Attached Storage (DAS), takich jak zewnętrzne dyski USB,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eSATA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lub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Firewire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, Network Attached Storage (NAS) pozwalającym na wystawienie swoich zasobów poprzez SMB (CIFS) lub NFS, bezpośrednio na zasobach obiektowych (w tym chmury).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Rozwiązanie musi wspierać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deduplikacje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oraz kompresję na źródle. Dane wysyłane na repozytorium muszą być już odpowiednio przetworzone.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Rozwiązanie musi wspierać kontrolę pasma sieciowego.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Rozwiązanie musi wspierać ograniczenie wykonywania backupów dla konkretnych sieci bezprzewodowych.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Rozwiązanie musi wspierać ograniczenia wykonywania backupów dla połączeń VPN.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Rozwiązanie musi wspierać śledzenie zmienionych bloków podczas wykonywania kopii zapasowych. Dla systemów Windows technologia śledzenia bloków dla systemów serwerowych musi być certyfikowana przez Microsoft.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Rozwiązanie musi wspierać technologię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BitLocker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Rozwiązanie musi wspierać uruchamianie z nośnika odtwarzania.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Rozwiązanie musi wspierać odzysk pojedynczych elementów aplikacji z jednoprzebiegowej kopii zapasowej dla Microsoft Active Directory, Microsoft SQL, 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Rozwiązanie musi wspierać odzysk do konkretnego punktu w czasie (point-in-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time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) dla wspieranych systemów bazodanowych.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Rozwiązanie musi umożliwiać natychmiastowe publikowanie baz MS SQL poprzez bezpośrednie uruchomienie ich z pliku backupu. 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Rozwiązanie musi wspierać odzysk obrazów kopii zapasowych </w:t>
            </w:r>
            <w:r w:rsidRPr="0050012C">
              <w:rPr>
                <w:rFonts w:ascii="Verdana" w:hAnsi="Verdana"/>
                <w:sz w:val="20"/>
                <w:szCs w:val="20"/>
              </w:rPr>
              <w:lastRenderedPageBreak/>
              <w:t xml:space="preserve">bezpośrednio do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vSphere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Hyper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>-V.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Rozwiązanie musi wspierać szyfrowanie.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Rozwiązanie musi wspierać możliwość wykonywania kopii zapasowych stacji klienckich, lokalnie do repozytorium tymczasowego (cache), gdy połączenie sieciowe do głównego repozytorium kopii zapasowych jest niedostępne.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Rozwiązanie musi posiadać funkcjonalność automatycznego zmniejszenia szybkości przetwarzania danych, aby nie dopuścić do obniżenia wydajności systemu zabezpieczanego.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Rozwiązanie musi posiadać ochronę przed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ransomware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poprzez automatyczne odmontowanie nośnika po wykonanym backupie stacji klienckiej.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Rozwiązanie musi wspierać tworzenie wielu zadań backupowych.</w:t>
            </w:r>
          </w:p>
        </w:tc>
      </w:tr>
    </w:tbl>
    <w:p w:rsidR="00853DE7" w:rsidRPr="0050012C" w:rsidRDefault="00853DE7" w:rsidP="00853DE7">
      <w:pPr>
        <w:spacing w:before="0" w:after="0"/>
        <w:jc w:val="both"/>
        <w:rPr>
          <w:rFonts w:ascii="Verdana" w:hAnsi="Verdana"/>
          <w:sz w:val="20"/>
          <w:szCs w:val="20"/>
        </w:rPr>
      </w:pPr>
    </w:p>
    <w:p w:rsidR="00853DE7" w:rsidRPr="0050012C" w:rsidRDefault="00853DE7" w:rsidP="000369DB">
      <w:pPr>
        <w:pStyle w:val="numeracja2"/>
      </w:pPr>
      <w:r w:rsidRPr="0050012C">
        <w:t>Zakup UPS serwerowego</w:t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2235"/>
        <w:gridCol w:w="7654"/>
      </w:tblGrid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0012C">
              <w:rPr>
                <w:rFonts w:ascii="Verdana" w:hAnsi="Verdana"/>
                <w:b/>
                <w:sz w:val="20"/>
                <w:szCs w:val="20"/>
              </w:rPr>
              <w:t>Obszar wymagań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0012C">
              <w:rPr>
                <w:rFonts w:ascii="Verdana" w:hAnsi="Verdana"/>
                <w:b/>
                <w:sz w:val="20"/>
                <w:szCs w:val="20"/>
              </w:rPr>
              <w:t>Wymagania minimalne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Typ urządzenia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Zasilacz awaryjny UPS do montażu w szafie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rack</w:t>
            </w:r>
            <w:proofErr w:type="spellEnd"/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Obudowa do montażu w szafie 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rack</w:t>
            </w:r>
            <w:proofErr w:type="spellEnd"/>
            <w:r w:rsidRPr="0050012C">
              <w:rPr>
                <w:rFonts w:ascii="Verdana" w:hAnsi="Verdana"/>
                <w:sz w:val="20"/>
                <w:szCs w:val="20"/>
              </w:rPr>
              <w:t xml:space="preserve"> zajmująca nie więcej niż 2U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Topologia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Line-</w:t>
            </w:r>
            <w:proofErr w:type="spellStart"/>
            <w:r w:rsidRPr="0050012C">
              <w:rPr>
                <w:rFonts w:ascii="Verdana" w:hAnsi="Verdana"/>
                <w:sz w:val="20"/>
                <w:szCs w:val="20"/>
              </w:rPr>
              <w:t>interactive</w:t>
            </w:r>
            <w:proofErr w:type="spellEnd"/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Moc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Moc pozorna co najmniej 1500 VA 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Moc czynna co najmniej 900 W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Parametry elektryczne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Zasilanie jednofazowe 230 V AC 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Napięcie wyjściowe 230 V AC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Napięcie wyjściowe o przebiegu sinusoidalnym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Wbudowana automatyczna regulacja napięcia (AVR)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Czas przełączania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Czas przełączania na pracę bateryjną nie więcej niż 10 ms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Gniazda i przyłącza zasilania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Złącze wejściowe IEC 320 C14 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Co najmniej 4 gniazda wyjściowe IEC 320 C13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Akumulator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Czas ładowania akumulatora do pełna nie więcej niż 3 godziny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Komunikacja i zarządzanie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Panel sterowania: wielofunkcyjny wyświetlacz LCD do prezentacji stanu i parametrów pracy 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Co najmniej 1 port komunikacyjny USB 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Co najmniej 1 port komunikacyjny szeregowy 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Co najmniej 1 port Ethernet RJ-45 do zdalnego monitorowania UPS 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t>Funkcjonalność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UPS musi zapewniać możliwość inicjowania i realizacji kontrolowanego, automatycznego zamykania systemu operacyjnego chronionego urządzenia w przypadku zaniku zasilania sieciowego. Zamknięcie systemu operacyjnego musi być realizowane w sposób automatyczny i kontrolowany, bez konieczności ręcznej interwencji użytkownika.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 xml:space="preserve">Zamknięcie systemu operacyjnego musi być realizowane z wykorzystaniem oprogramowania producenta UPS lub oprogramowania z nim równoważnego, komunikującego się bezpośrednio z UPS. W przypadku zaoferowania oprogramowania równoważnego do oprogramowania producenta UPS, Wykonawca dostarczy licencję umożliwiającą realizację funkcji automatycznego, kontrolowanego zamykania systemów operacyjnych na co najmniej 4 chronionych </w:t>
            </w:r>
            <w:r w:rsidRPr="0050012C">
              <w:rPr>
                <w:rFonts w:ascii="Verdana" w:hAnsi="Verdana"/>
                <w:sz w:val="20"/>
                <w:szCs w:val="20"/>
              </w:rPr>
              <w:lastRenderedPageBreak/>
              <w:t>urządzeniach..</w:t>
            </w:r>
          </w:p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Oprogramowanie musi obsługiwać co najmniej systemy operacyjne Microsoft Windows w wersjach wspieranych przez producenta systemu.</w:t>
            </w:r>
          </w:p>
        </w:tc>
      </w:tr>
      <w:tr w:rsidR="00853DE7" w:rsidRPr="0050012C" w:rsidTr="001F149C">
        <w:tc>
          <w:tcPr>
            <w:tcW w:w="2235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0012C">
              <w:rPr>
                <w:rFonts w:ascii="Verdana" w:hAnsi="Verdana"/>
                <w:bCs/>
                <w:sz w:val="20"/>
                <w:szCs w:val="20"/>
              </w:rPr>
              <w:lastRenderedPageBreak/>
              <w:t>Gwarancja</w:t>
            </w:r>
          </w:p>
        </w:tc>
        <w:tc>
          <w:tcPr>
            <w:tcW w:w="7654" w:type="dxa"/>
          </w:tcPr>
          <w:p w:rsidR="00853DE7" w:rsidRPr="0050012C" w:rsidRDefault="00853DE7" w:rsidP="001F149C">
            <w:pPr>
              <w:spacing w:before="0" w:after="0" w:line="276" w:lineRule="auto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50012C">
              <w:rPr>
                <w:rFonts w:ascii="Verdana" w:hAnsi="Verdana"/>
                <w:sz w:val="20"/>
                <w:szCs w:val="20"/>
              </w:rPr>
              <w:t>Gwarancja producenta co najmniej 24 miesiące</w:t>
            </w:r>
          </w:p>
        </w:tc>
      </w:tr>
    </w:tbl>
    <w:p w:rsidR="00853DE7" w:rsidRPr="0050012C" w:rsidRDefault="00853DE7" w:rsidP="00853DE7">
      <w:pPr>
        <w:spacing w:before="0" w:after="0"/>
        <w:jc w:val="both"/>
        <w:rPr>
          <w:rFonts w:ascii="Verdana" w:hAnsi="Verdana"/>
          <w:sz w:val="20"/>
          <w:szCs w:val="20"/>
        </w:rPr>
      </w:pPr>
    </w:p>
    <w:p w:rsidR="00853DE7" w:rsidRPr="0050012C" w:rsidRDefault="00853DE7" w:rsidP="006E7BF6">
      <w:pPr>
        <w:pStyle w:val="numeracja2"/>
      </w:pPr>
      <w:r w:rsidRPr="0050012C">
        <w:t>Zakup usług wdrożenia zakupionych rozwiązań</w:t>
      </w:r>
    </w:p>
    <w:p w:rsidR="00853DE7" w:rsidRPr="0050012C" w:rsidRDefault="00853DE7" w:rsidP="006E7BF6">
      <w:pPr>
        <w:pStyle w:val="numeracja2"/>
        <w:numPr>
          <w:ilvl w:val="1"/>
          <w:numId w:val="47"/>
        </w:numPr>
      </w:pPr>
      <w:r w:rsidRPr="0050012C">
        <w:t>Wymagania ogólne dotyczące wdrożenia</w:t>
      </w:r>
    </w:p>
    <w:p w:rsidR="00853DE7" w:rsidRPr="0050012C" w:rsidRDefault="00853DE7" w:rsidP="00853DE7">
      <w:pPr>
        <w:pStyle w:val="Akapitzlist"/>
        <w:numPr>
          <w:ilvl w:val="0"/>
          <w:numId w:val="36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Wykonawca zobowiązany jest do realizacji usług wdrożeniowych dla wszystkich urządzeń i oprogramowania opisanych w rozdziałach 1–5, w sposób zapewniający ich pełną funkcjonalność, bezpieczeństwo oraz zgodność z wymaganiami Zamawiającego.</w:t>
      </w:r>
    </w:p>
    <w:p w:rsidR="00853DE7" w:rsidRPr="0050012C" w:rsidRDefault="00853DE7" w:rsidP="00853DE7">
      <w:pPr>
        <w:pStyle w:val="Akapitzlist"/>
        <w:numPr>
          <w:ilvl w:val="0"/>
          <w:numId w:val="36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Wdrożenie musi zostać przeprowadzone w siedzibie Zamawiającego, w uzgodnionych terminach, w sposób minimalizujący wpływ na bieżącą pracę urzędu.</w:t>
      </w:r>
    </w:p>
    <w:p w:rsidR="00853DE7" w:rsidRPr="0050012C" w:rsidRDefault="00853DE7" w:rsidP="00853DE7">
      <w:pPr>
        <w:pStyle w:val="Akapitzlist"/>
        <w:numPr>
          <w:ilvl w:val="0"/>
          <w:numId w:val="36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 xml:space="preserve">Wszystkie urządzenia przeznaczone do montażu w szafach </w:t>
      </w:r>
      <w:proofErr w:type="spellStart"/>
      <w:r w:rsidRPr="0050012C">
        <w:rPr>
          <w:rFonts w:ascii="Verdana" w:hAnsi="Verdana"/>
          <w:sz w:val="20"/>
          <w:szCs w:val="20"/>
        </w:rPr>
        <w:t>rack</w:t>
      </w:r>
      <w:proofErr w:type="spellEnd"/>
      <w:r w:rsidRPr="0050012C">
        <w:rPr>
          <w:rFonts w:ascii="Verdana" w:hAnsi="Verdana"/>
          <w:sz w:val="20"/>
          <w:szCs w:val="20"/>
        </w:rPr>
        <w:t xml:space="preserve"> muszą zostać zainstalowane w szafach wskazanych przez Zamawiającego, wraz z dostarczeniem kompletu niezbędnych akcesoriów montażowych, kabli zasilających i sygnałowych.</w:t>
      </w:r>
    </w:p>
    <w:p w:rsidR="00853DE7" w:rsidRPr="0050012C" w:rsidRDefault="00853DE7" w:rsidP="00853DE7">
      <w:pPr>
        <w:pStyle w:val="Akapitzlist"/>
        <w:numPr>
          <w:ilvl w:val="0"/>
          <w:numId w:val="36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Wykonawca ponosi odpowiedzialność za poprawne uruchomienie, konfigurację oraz integrację dostarczonych rozwiązań z istniejącą infrastrukturą IT Zamawiającego.</w:t>
      </w:r>
    </w:p>
    <w:p w:rsidR="00853DE7" w:rsidRPr="0050012C" w:rsidRDefault="00853DE7" w:rsidP="00853DE7">
      <w:pPr>
        <w:pStyle w:val="Akapitzlist"/>
        <w:numPr>
          <w:ilvl w:val="0"/>
          <w:numId w:val="36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 xml:space="preserve">W ramach wdrożenia Wykonawca zobowiązany jest do wykonania aktualizacji </w:t>
      </w:r>
      <w:proofErr w:type="spellStart"/>
      <w:r w:rsidRPr="0050012C">
        <w:rPr>
          <w:rFonts w:ascii="Verdana" w:hAnsi="Verdana"/>
          <w:sz w:val="20"/>
          <w:szCs w:val="20"/>
        </w:rPr>
        <w:t>firmware</w:t>
      </w:r>
      <w:proofErr w:type="spellEnd"/>
      <w:r w:rsidRPr="0050012C">
        <w:rPr>
          <w:rFonts w:ascii="Verdana" w:hAnsi="Verdana"/>
          <w:sz w:val="20"/>
          <w:szCs w:val="20"/>
        </w:rPr>
        <w:t xml:space="preserve"> oraz oprogramowania do wersji aktualnych na dzień wdrożenia, o ile nie koliduje to z polityką bezpieczeństwa Zamawiającego.</w:t>
      </w:r>
    </w:p>
    <w:p w:rsidR="00853DE7" w:rsidRPr="0050012C" w:rsidRDefault="00853DE7" w:rsidP="006E7BF6">
      <w:pPr>
        <w:pStyle w:val="numeracja2"/>
        <w:numPr>
          <w:ilvl w:val="1"/>
          <w:numId w:val="47"/>
        </w:numPr>
      </w:pPr>
      <w:r w:rsidRPr="0050012C">
        <w:t>Wdrożenie UTM</w:t>
      </w:r>
    </w:p>
    <w:p w:rsidR="00853DE7" w:rsidRPr="0050012C" w:rsidRDefault="00853DE7" w:rsidP="00853DE7">
      <w:p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Do obowiązków Wykonawcy należy:</w:t>
      </w:r>
    </w:p>
    <w:p w:rsidR="00853DE7" w:rsidRPr="0050012C" w:rsidRDefault="00853DE7" w:rsidP="00853DE7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 xml:space="preserve">Instalacja fizyczna urządzenia UTM w szafie </w:t>
      </w:r>
      <w:proofErr w:type="spellStart"/>
      <w:r w:rsidRPr="0050012C">
        <w:rPr>
          <w:rFonts w:ascii="Verdana" w:hAnsi="Verdana"/>
          <w:sz w:val="20"/>
          <w:szCs w:val="20"/>
        </w:rPr>
        <w:t>rack</w:t>
      </w:r>
      <w:proofErr w:type="spellEnd"/>
      <w:r w:rsidRPr="0050012C">
        <w:rPr>
          <w:rFonts w:ascii="Verdana" w:hAnsi="Verdana"/>
          <w:sz w:val="20"/>
          <w:szCs w:val="20"/>
        </w:rPr>
        <w:t>, podłączenie do sieci zasilającej oraz infrastruktury sieciowej Zamawiającego.</w:t>
      </w:r>
    </w:p>
    <w:p w:rsidR="00853DE7" w:rsidRPr="0050012C" w:rsidRDefault="00853DE7" w:rsidP="00853DE7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Wykonanie podstawowej konfiguracji systemu, obejmującej co najmniej:</w:t>
      </w:r>
    </w:p>
    <w:p w:rsidR="00853DE7" w:rsidRPr="0050012C" w:rsidRDefault="00853DE7" w:rsidP="00853DE7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konfigurację interfejsów sieciowych i stref bezpieczeństwa,</w:t>
      </w:r>
    </w:p>
    <w:p w:rsidR="00853DE7" w:rsidRPr="0050012C" w:rsidRDefault="00853DE7" w:rsidP="00853DE7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konfigurację polityk firewall zgodnie z uzgodnioną koncepcją bezpieczeństwa,</w:t>
      </w:r>
    </w:p>
    <w:p w:rsidR="00853DE7" w:rsidRPr="0050012C" w:rsidRDefault="00853DE7" w:rsidP="00853DE7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konfigurację mechanizmów ochrony (IPS, antywirus, kontrola aplikacji, filtrowanie treści WWW),</w:t>
      </w:r>
    </w:p>
    <w:p w:rsidR="00853DE7" w:rsidRPr="0050012C" w:rsidRDefault="00853DE7" w:rsidP="00853DE7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konfigurację mechanizmów VPN (</w:t>
      </w:r>
      <w:proofErr w:type="spellStart"/>
      <w:r w:rsidRPr="0050012C">
        <w:rPr>
          <w:rFonts w:ascii="Verdana" w:hAnsi="Verdana"/>
          <w:sz w:val="20"/>
          <w:szCs w:val="20"/>
        </w:rPr>
        <w:t>site</w:t>
      </w:r>
      <w:proofErr w:type="spellEnd"/>
      <w:r w:rsidRPr="0050012C">
        <w:rPr>
          <w:rFonts w:ascii="Verdana" w:hAnsi="Verdana"/>
          <w:sz w:val="20"/>
          <w:szCs w:val="20"/>
        </w:rPr>
        <w:t>-to-</w:t>
      </w:r>
      <w:proofErr w:type="spellStart"/>
      <w:r w:rsidRPr="0050012C">
        <w:rPr>
          <w:rFonts w:ascii="Verdana" w:hAnsi="Verdana"/>
          <w:sz w:val="20"/>
          <w:szCs w:val="20"/>
        </w:rPr>
        <w:t>site</w:t>
      </w:r>
      <w:proofErr w:type="spellEnd"/>
      <w:r w:rsidRPr="0050012C">
        <w:rPr>
          <w:rFonts w:ascii="Verdana" w:hAnsi="Verdana"/>
          <w:sz w:val="20"/>
          <w:szCs w:val="20"/>
        </w:rPr>
        <w:t xml:space="preserve"> i/lub </w:t>
      </w:r>
      <w:proofErr w:type="spellStart"/>
      <w:r w:rsidRPr="0050012C">
        <w:rPr>
          <w:rFonts w:ascii="Verdana" w:hAnsi="Verdana"/>
          <w:sz w:val="20"/>
          <w:szCs w:val="20"/>
        </w:rPr>
        <w:t>client</w:t>
      </w:r>
      <w:proofErr w:type="spellEnd"/>
      <w:r w:rsidRPr="0050012C">
        <w:rPr>
          <w:rFonts w:ascii="Verdana" w:hAnsi="Verdana"/>
          <w:sz w:val="20"/>
          <w:szCs w:val="20"/>
        </w:rPr>
        <w:t>-to-</w:t>
      </w:r>
      <w:proofErr w:type="spellStart"/>
      <w:r w:rsidRPr="0050012C">
        <w:rPr>
          <w:rFonts w:ascii="Verdana" w:hAnsi="Verdana"/>
          <w:sz w:val="20"/>
          <w:szCs w:val="20"/>
        </w:rPr>
        <w:t>site</w:t>
      </w:r>
      <w:proofErr w:type="spellEnd"/>
      <w:r w:rsidRPr="0050012C">
        <w:rPr>
          <w:rFonts w:ascii="Verdana" w:hAnsi="Verdana"/>
          <w:sz w:val="20"/>
          <w:szCs w:val="20"/>
        </w:rPr>
        <w:t>).</w:t>
      </w:r>
    </w:p>
    <w:p w:rsidR="00853DE7" w:rsidRPr="0050012C" w:rsidRDefault="00853DE7" w:rsidP="00853DE7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Integracja urządzenia UTM z istniejącą infrastrukturą sieciową Zamawiającego, w tym z usługami katalogowymi, jeżeli są wykorzystywane.</w:t>
      </w:r>
    </w:p>
    <w:p w:rsidR="00853DE7" w:rsidRPr="0050012C" w:rsidRDefault="00853DE7" w:rsidP="00853DE7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Konfiguracja mechanizmów monitoringu, logowania oraz raportowania zdarzeń bezpieczeństwa.</w:t>
      </w:r>
    </w:p>
    <w:p w:rsidR="00853DE7" w:rsidRPr="0050012C" w:rsidRDefault="00853DE7" w:rsidP="00853DE7">
      <w:pPr>
        <w:pStyle w:val="Akapitzlist"/>
        <w:numPr>
          <w:ilvl w:val="0"/>
          <w:numId w:val="37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Przeprowadzenie testów poprawności działania wdrożonych funkcji bezpieczeństwa.</w:t>
      </w:r>
    </w:p>
    <w:p w:rsidR="00853DE7" w:rsidRPr="0050012C" w:rsidRDefault="00853DE7" w:rsidP="006E7BF6">
      <w:pPr>
        <w:pStyle w:val="numeracja2"/>
        <w:numPr>
          <w:ilvl w:val="1"/>
          <w:numId w:val="47"/>
        </w:numPr>
      </w:pPr>
      <w:r w:rsidRPr="0050012C">
        <w:t>Wdrożenie serwera NAS</w:t>
      </w:r>
    </w:p>
    <w:p w:rsidR="00853DE7" w:rsidRPr="0050012C" w:rsidRDefault="00853DE7" w:rsidP="00853DE7">
      <w:p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Do obowiązków Wykonawcy należy:</w:t>
      </w:r>
    </w:p>
    <w:p w:rsidR="00853DE7" w:rsidRPr="0050012C" w:rsidRDefault="00853DE7" w:rsidP="00853DE7">
      <w:pPr>
        <w:pStyle w:val="Akapitzlist"/>
        <w:numPr>
          <w:ilvl w:val="0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lastRenderedPageBreak/>
        <w:t xml:space="preserve">Instalacja serwera NAS w szafie </w:t>
      </w:r>
      <w:proofErr w:type="spellStart"/>
      <w:r w:rsidRPr="0050012C">
        <w:rPr>
          <w:rFonts w:ascii="Verdana" w:hAnsi="Verdana"/>
          <w:sz w:val="20"/>
          <w:szCs w:val="20"/>
        </w:rPr>
        <w:t>rack</w:t>
      </w:r>
      <w:proofErr w:type="spellEnd"/>
      <w:r w:rsidRPr="0050012C">
        <w:rPr>
          <w:rFonts w:ascii="Verdana" w:hAnsi="Verdana"/>
          <w:sz w:val="20"/>
          <w:szCs w:val="20"/>
        </w:rPr>
        <w:t xml:space="preserve"> oraz jego fizyczne podłączenie do sieci i zasilania.</w:t>
      </w:r>
    </w:p>
    <w:p w:rsidR="00853DE7" w:rsidRPr="0050012C" w:rsidRDefault="00853DE7" w:rsidP="00853DE7">
      <w:pPr>
        <w:pStyle w:val="Akapitzlist"/>
        <w:numPr>
          <w:ilvl w:val="0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Konfiguracja macierzy dyskowej, w tym:</w:t>
      </w:r>
    </w:p>
    <w:p w:rsidR="00853DE7" w:rsidRPr="0050012C" w:rsidRDefault="00853DE7" w:rsidP="00853DE7">
      <w:pPr>
        <w:pStyle w:val="Akapitzlist"/>
        <w:numPr>
          <w:ilvl w:val="1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inicjalizacja dysków,</w:t>
      </w:r>
    </w:p>
    <w:p w:rsidR="00853DE7" w:rsidRPr="0050012C" w:rsidRDefault="00853DE7" w:rsidP="00853DE7">
      <w:pPr>
        <w:pStyle w:val="Akapitzlist"/>
        <w:numPr>
          <w:ilvl w:val="1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konfiguracja poziomów RAID zgodnie z najlepszymi praktykami bezpieczeństwa danych,</w:t>
      </w:r>
    </w:p>
    <w:p w:rsidR="00853DE7" w:rsidRPr="0050012C" w:rsidRDefault="00853DE7" w:rsidP="00853DE7">
      <w:pPr>
        <w:pStyle w:val="Akapitzlist"/>
        <w:numPr>
          <w:ilvl w:val="1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konfiguracja wolumenów i systemów plików.</w:t>
      </w:r>
    </w:p>
    <w:p w:rsidR="00853DE7" w:rsidRPr="0050012C" w:rsidRDefault="00853DE7" w:rsidP="00853DE7">
      <w:pPr>
        <w:pStyle w:val="Akapitzlist"/>
        <w:numPr>
          <w:ilvl w:val="1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Konfiguracja usług sieciowych serwera NAS, w szczególności:</w:t>
      </w:r>
    </w:p>
    <w:p w:rsidR="00853DE7" w:rsidRPr="0050012C" w:rsidRDefault="00853DE7" w:rsidP="00853DE7">
      <w:pPr>
        <w:pStyle w:val="Akapitzlist"/>
        <w:numPr>
          <w:ilvl w:val="1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usług udostępniania plików,</w:t>
      </w:r>
    </w:p>
    <w:p w:rsidR="00853DE7" w:rsidRPr="0050012C" w:rsidRDefault="00853DE7" w:rsidP="00853DE7">
      <w:pPr>
        <w:pStyle w:val="Akapitzlist"/>
        <w:numPr>
          <w:ilvl w:val="1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 xml:space="preserve">usług </w:t>
      </w:r>
      <w:proofErr w:type="spellStart"/>
      <w:r w:rsidRPr="0050012C">
        <w:rPr>
          <w:rFonts w:ascii="Verdana" w:hAnsi="Verdana"/>
          <w:sz w:val="20"/>
          <w:szCs w:val="20"/>
        </w:rPr>
        <w:t>iSCSI</w:t>
      </w:r>
      <w:proofErr w:type="spellEnd"/>
      <w:r w:rsidRPr="0050012C">
        <w:rPr>
          <w:rFonts w:ascii="Verdana" w:hAnsi="Verdana"/>
          <w:sz w:val="20"/>
          <w:szCs w:val="20"/>
        </w:rPr>
        <w:t>,</w:t>
      </w:r>
    </w:p>
    <w:p w:rsidR="00853DE7" w:rsidRPr="0050012C" w:rsidRDefault="00853DE7" w:rsidP="00853DE7">
      <w:pPr>
        <w:pStyle w:val="Akapitzlist"/>
        <w:numPr>
          <w:ilvl w:val="1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integracji z usługami katalogowymi Zamawiającego.</w:t>
      </w:r>
    </w:p>
    <w:p w:rsidR="00853DE7" w:rsidRPr="0050012C" w:rsidRDefault="00853DE7" w:rsidP="00853DE7">
      <w:pPr>
        <w:pStyle w:val="Akapitzlist"/>
        <w:numPr>
          <w:ilvl w:val="0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Wdrożenie polityk dostępu do danych oraz zabezpieczeń logicznych.</w:t>
      </w:r>
    </w:p>
    <w:p w:rsidR="00853DE7" w:rsidRPr="0050012C" w:rsidRDefault="00853DE7" w:rsidP="00853DE7">
      <w:pPr>
        <w:pStyle w:val="Akapitzlist"/>
        <w:numPr>
          <w:ilvl w:val="0"/>
          <w:numId w:val="38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Testy poprawności działania, dostępności i wydajności systemu NAS.</w:t>
      </w:r>
    </w:p>
    <w:p w:rsidR="00853DE7" w:rsidRPr="0050012C" w:rsidRDefault="00853DE7" w:rsidP="006E7BF6">
      <w:pPr>
        <w:pStyle w:val="numeracja2"/>
        <w:numPr>
          <w:ilvl w:val="1"/>
          <w:numId w:val="47"/>
        </w:numPr>
      </w:pPr>
      <w:r w:rsidRPr="0050012C">
        <w:t>Wdrożenie serwera do archiwizacji wraz z systemem operacyjnym</w:t>
      </w:r>
    </w:p>
    <w:p w:rsidR="00853DE7" w:rsidRPr="0050012C" w:rsidRDefault="00853DE7" w:rsidP="00853DE7">
      <w:p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Do obowiązków Wykonawcy należy:</w:t>
      </w:r>
    </w:p>
    <w:p w:rsidR="00853DE7" w:rsidRPr="0050012C" w:rsidRDefault="00853DE7" w:rsidP="00853DE7">
      <w:pPr>
        <w:pStyle w:val="Akapitzlist"/>
        <w:numPr>
          <w:ilvl w:val="0"/>
          <w:numId w:val="39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 xml:space="preserve">Instalacja serwera w szafie </w:t>
      </w:r>
      <w:proofErr w:type="spellStart"/>
      <w:r w:rsidRPr="0050012C">
        <w:rPr>
          <w:rFonts w:ascii="Verdana" w:hAnsi="Verdana"/>
          <w:sz w:val="20"/>
          <w:szCs w:val="20"/>
        </w:rPr>
        <w:t>rack</w:t>
      </w:r>
      <w:proofErr w:type="spellEnd"/>
      <w:r w:rsidRPr="0050012C">
        <w:rPr>
          <w:rFonts w:ascii="Verdana" w:hAnsi="Verdana"/>
          <w:sz w:val="20"/>
          <w:szCs w:val="20"/>
        </w:rPr>
        <w:t>, podłączenie do sieci zasilającej i sieci teleinformatycznej.</w:t>
      </w:r>
    </w:p>
    <w:p w:rsidR="00853DE7" w:rsidRPr="0050012C" w:rsidRDefault="00853DE7" w:rsidP="00853DE7">
      <w:pPr>
        <w:pStyle w:val="Akapitzlist"/>
        <w:numPr>
          <w:ilvl w:val="0"/>
          <w:numId w:val="39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Konfiguracja modułu zdalnego zarządzania oraz podstawowych mechanizmów monitorowania sprzętu.</w:t>
      </w:r>
    </w:p>
    <w:p w:rsidR="00853DE7" w:rsidRPr="0050012C" w:rsidRDefault="00853DE7" w:rsidP="00853DE7">
      <w:pPr>
        <w:pStyle w:val="Akapitzlist"/>
        <w:numPr>
          <w:ilvl w:val="0"/>
          <w:numId w:val="39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Instalacja i konfiguracja systemu operacyjnego zgodnie z wymaganiami Zamawiającego, w tym:</w:t>
      </w:r>
    </w:p>
    <w:p w:rsidR="00853DE7" w:rsidRPr="0050012C" w:rsidRDefault="00853DE7" w:rsidP="00853DE7">
      <w:pPr>
        <w:pStyle w:val="Akapitzlist"/>
        <w:numPr>
          <w:ilvl w:val="1"/>
          <w:numId w:val="39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konfiguracja ról i usług systemowych,</w:t>
      </w:r>
    </w:p>
    <w:p w:rsidR="00853DE7" w:rsidRPr="0050012C" w:rsidRDefault="00853DE7" w:rsidP="00853DE7">
      <w:pPr>
        <w:pStyle w:val="Akapitzlist"/>
        <w:numPr>
          <w:ilvl w:val="1"/>
          <w:numId w:val="39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konfiguracja mechanizmów bezpieczeństwa,</w:t>
      </w:r>
    </w:p>
    <w:p w:rsidR="00853DE7" w:rsidRPr="0050012C" w:rsidRDefault="00853DE7" w:rsidP="00853DE7">
      <w:pPr>
        <w:pStyle w:val="Akapitzlist"/>
        <w:numPr>
          <w:ilvl w:val="1"/>
          <w:numId w:val="39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integracja z istniejącą domeną lub środowiskiem katalogowym.</w:t>
      </w:r>
    </w:p>
    <w:p w:rsidR="00853DE7" w:rsidRPr="0050012C" w:rsidRDefault="00853DE7" w:rsidP="00853DE7">
      <w:pPr>
        <w:pStyle w:val="Akapitzlist"/>
        <w:numPr>
          <w:ilvl w:val="0"/>
          <w:numId w:val="39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Konfiguracja mechanizmów wirtualizacji oraz przygotowanie środowiska pod potrzeby archiwizacji danych.</w:t>
      </w:r>
    </w:p>
    <w:p w:rsidR="00853DE7" w:rsidRPr="0050012C" w:rsidRDefault="00853DE7" w:rsidP="00853DE7">
      <w:pPr>
        <w:pStyle w:val="Akapitzlist"/>
        <w:numPr>
          <w:ilvl w:val="0"/>
          <w:numId w:val="39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Wykonanie testów poprawności działania serwera oraz usług systemowych.</w:t>
      </w:r>
    </w:p>
    <w:p w:rsidR="00853DE7" w:rsidRPr="0050012C" w:rsidRDefault="00853DE7" w:rsidP="006E7BF6">
      <w:pPr>
        <w:pStyle w:val="numeracja2"/>
        <w:numPr>
          <w:ilvl w:val="1"/>
          <w:numId w:val="47"/>
        </w:numPr>
      </w:pPr>
      <w:r w:rsidRPr="0050012C">
        <w:t>Wdrożenie oprogramowania do tworzenia kopii zapasowych</w:t>
      </w:r>
    </w:p>
    <w:p w:rsidR="00853DE7" w:rsidRPr="0050012C" w:rsidRDefault="00853DE7" w:rsidP="00853DE7">
      <w:p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Do obowiązków Wykonawcy należy:</w:t>
      </w:r>
    </w:p>
    <w:p w:rsidR="00853DE7" w:rsidRPr="0050012C" w:rsidRDefault="00853DE7" w:rsidP="00853DE7">
      <w:pPr>
        <w:pStyle w:val="Akapitzlist"/>
        <w:numPr>
          <w:ilvl w:val="0"/>
          <w:numId w:val="40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Instalacja oprogramowania backupowego na wskazanej przez Zamawiającego maszynie wirtualnej / serwerze.</w:t>
      </w:r>
    </w:p>
    <w:p w:rsidR="00853DE7" w:rsidRPr="0050012C" w:rsidRDefault="00853DE7" w:rsidP="00853DE7">
      <w:pPr>
        <w:pStyle w:val="Akapitzlist"/>
        <w:numPr>
          <w:ilvl w:val="0"/>
          <w:numId w:val="40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Konfiguracja repozytoriów kopii zapasowych z wykorzystaniem serwera NAS i/lub serwera archiwizacji.</w:t>
      </w:r>
    </w:p>
    <w:p w:rsidR="00853DE7" w:rsidRPr="0050012C" w:rsidRDefault="00853DE7" w:rsidP="00853DE7">
      <w:pPr>
        <w:pStyle w:val="Akapitzlist"/>
        <w:numPr>
          <w:ilvl w:val="0"/>
          <w:numId w:val="40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Utworzenie polityk kopii zapasowych obejmujących co najmniej:</w:t>
      </w:r>
    </w:p>
    <w:p w:rsidR="00853DE7" w:rsidRPr="0050012C" w:rsidRDefault="00853DE7" w:rsidP="00853DE7">
      <w:pPr>
        <w:pStyle w:val="Akapitzlist"/>
        <w:numPr>
          <w:ilvl w:val="1"/>
          <w:numId w:val="40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maszyny wirtualne,</w:t>
      </w:r>
    </w:p>
    <w:p w:rsidR="00853DE7" w:rsidRPr="0050012C" w:rsidRDefault="00853DE7" w:rsidP="00853DE7">
      <w:pPr>
        <w:pStyle w:val="Akapitzlist"/>
        <w:numPr>
          <w:ilvl w:val="1"/>
          <w:numId w:val="40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serwery plików,</w:t>
      </w:r>
    </w:p>
    <w:p w:rsidR="00853DE7" w:rsidRPr="0050012C" w:rsidRDefault="00853DE7" w:rsidP="00853DE7">
      <w:pPr>
        <w:pStyle w:val="Akapitzlist"/>
        <w:numPr>
          <w:ilvl w:val="1"/>
          <w:numId w:val="40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dane przechowywane na urządzeniach NAS.</w:t>
      </w:r>
    </w:p>
    <w:p w:rsidR="00853DE7" w:rsidRPr="0050012C" w:rsidRDefault="00853DE7" w:rsidP="00853DE7">
      <w:pPr>
        <w:pStyle w:val="Akapitzlist"/>
        <w:numPr>
          <w:ilvl w:val="0"/>
          <w:numId w:val="40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lastRenderedPageBreak/>
        <w:t>Konfiguracja harmonogramów wykonywania kopii zapasowych oraz mechanizmów retencji danych.</w:t>
      </w:r>
    </w:p>
    <w:p w:rsidR="00853DE7" w:rsidRPr="0050012C" w:rsidRDefault="00853DE7" w:rsidP="00853DE7">
      <w:pPr>
        <w:pStyle w:val="Akapitzlist"/>
        <w:numPr>
          <w:ilvl w:val="0"/>
          <w:numId w:val="40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Przeprowadzenie testów odtwarzania danych (co najmniej test odtworzenia wybranych plików lub maszyn wirtualnych).</w:t>
      </w:r>
    </w:p>
    <w:p w:rsidR="00853DE7" w:rsidRPr="0050012C" w:rsidRDefault="00853DE7" w:rsidP="000369DB">
      <w:pPr>
        <w:pStyle w:val="numeracja2"/>
        <w:numPr>
          <w:ilvl w:val="1"/>
          <w:numId w:val="47"/>
        </w:numPr>
      </w:pPr>
      <w:r w:rsidRPr="0050012C">
        <w:t>Wdrożenie zasilacza awaryjnego UPS</w:t>
      </w:r>
    </w:p>
    <w:p w:rsidR="00853DE7" w:rsidRPr="0050012C" w:rsidRDefault="00853DE7" w:rsidP="00853DE7">
      <w:p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Do obowiązków Wykonawcy należy:</w:t>
      </w:r>
    </w:p>
    <w:p w:rsidR="00853DE7" w:rsidRPr="0050012C" w:rsidRDefault="00853DE7" w:rsidP="00853DE7">
      <w:pPr>
        <w:pStyle w:val="Akapitzlist"/>
        <w:numPr>
          <w:ilvl w:val="0"/>
          <w:numId w:val="41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 xml:space="preserve">Instalacja UPS w szafie </w:t>
      </w:r>
      <w:proofErr w:type="spellStart"/>
      <w:r w:rsidRPr="0050012C">
        <w:rPr>
          <w:rFonts w:ascii="Verdana" w:hAnsi="Verdana"/>
          <w:sz w:val="20"/>
          <w:szCs w:val="20"/>
        </w:rPr>
        <w:t>rack</w:t>
      </w:r>
      <w:proofErr w:type="spellEnd"/>
      <w:r w:rsidRPr="0050012C">
        <w:rPr>
          <w:rFonts w:ascii="Verdana" w:hAnsi="Verdana"/>
          <w:sz w:val="20"/>
          <w:szCs w:val="20"/>
        </w:rPr>
        <w:t xml:space="preserve"> oraz podłączenie do infrastruktury zasilającej i chronionych urządzeń.</w:t>
      </w:r>
    </w:p>
    <w:p w:rsidR="00853DE7" w:rsidRPr="0050012C" w:rsidRDefault="00853DE7" w:rsidP="00853DE7">
      <w:pPr>
        <w:pStyle w:val="Akapitzlist"/>
        <w:numPr>
          <w:ilvl w:val="0"/>
          <w:numId w:val="41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Konfiguracja interfejsów komunikacyjnych UPS oraz integracja z systemami operacyjnymi chronionych serwerów.</w:t>
      </w:r>
    </w:p>
    <w:p w:rsidR="00853DE7" w:rsidRPr="0050012C" w:rsidRDefault="00853DE7" w:rsidP="00853DE7">
      <w:pPr>
        <w:pStyle w:val="Akapitzlist"/>
        <w:numPr>
          <w:ilvl w:val="0"/>
          <w:numId w:val="41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Konfiguracja mechanizmów automatycznego, kontrolowanego zamykania systemów operacyjnych w przypadku zaniku zasilania.</w:t>
      </w:r>
    </w:p>
    <w:p w:rsidR="00853DE7" w:rsidRPr="0050012C" w:rsidRDefault="00853DE7" w:rsidP="00853DE7">
      <w:pPr>
        <w:pStyle w:val="Akapitzlist"/>
        <w:numPr>
          <w:ilvl w:val="0"/>
          <w:numId w:val="41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Przeprowadzenie testów poprawności działania UPS, w tym testu zaniku zasilania.</w:t>
      </w:r>
    </w:p>
    <w:p w:rsidR="00853DE7" w:rsidRPr="0050012C" w:rsidRDefault="00853DE7" w:rsidP="00853DE7">
      <w:pPr>
        <w:pStyle w:val="Akapitzlist"/>
        <w:numPr>
          <w:ilvl w:val="0"/>
          <w:numId w:val="41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Szkolenie pracowników Zamawiającego w zakresie podstawowej obsługi i monitorowania UPS.</w:t>
      </w:r>
    </w:p>
    <w:p w:rsidR="00853DE7" w:rsidRPr="0050012C" w:rsidRDefault="00853DE7" w:rsidP="000369DB">
      <w:pPr>
        <w:pStyle w:val="numeracja2"/>
        <w:numPr>
          <w:ilvl w:val="1"/>
          <w:numId w:val="47"/>
        </w:numPr>
      </w:pPr>
      <w:r w:rsidRPr="0050012C">
        <w:t>Dokumentacja powdrożeniowa</w:t>
      </w:r>
    </w:p>
    <w:p w:rsidR="00853DE7" w:rsidRPr="0050012C" w:rsidRDefault="00853DE7" w:rsidP="00853DE7">
      <w:pPr>
        <w:pStyle w:val="Akapitzlist"/>
        <w:numPr>
          <w:ilvl w:val="0"/>
          <w:numId w:val="42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Wykonawca zobowiązany jest do przygotowania i przekazania Zamawiającemu dokumentacji powdrożeniowej obejmującej:</w:t>
      </w:r>
    </w:p>
    <w:p w:rsidR="00853DE7" w:rsidRPr="0050012C" w:rsidRDefault="00853DE7" w:rsidP="00853DE7">
      <w:pPr>
        <w:pStyle w:val="Akapitzlist"/>
        <w:numPr>
          <w:ilvl w:val="1"/>
          <w:numId w:val="42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opis wykonanych prac wdrożeniowych,</w:t>
      </w:r>
    </w:p>
    <w:p w:rsidR="00853DE7" w:rsidRPr="0050012C" w:rsidRDefault="00853DE7" w:rsidP="00853DE7">
      <w:pPr>
        <w:pStyle w:val="Akapitzlist"/>
        <w:numPr>
          <w:ilvl w:val="1"/>
          <w:numId w:val="42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schemat logiczny wdrożonej infrastruktury,</w:t>
      </w:r>
    </w:p>
    <w:p w:rsidR="00853DE7" w:rsidRPr="0050012C" w:rsidRDefault="00853DE7" w:rsidP="00853DE7">
      <w:pPr>
        <w:pStyle w:val="Akapitzlist"/>
        <w:numPr>
          <w:ilvl w:val="1"/>
          <w:numId w:val="42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opis konfiguracji kluczowych elementów systemu,</w:t>
      </w:r>
    </w:p>
    <w:p w:rsidR="00853DE7" w:rsidRPr="0050012C" w:rsidRDefault="00853DE7" w:rsidP="00853DE7">
      <w:pPr>
        <w:pStyle w:val="Akapitzlist"/>
        <w:numPr>
          <w:ilvl w:val="1"/>
          <w:numId w:val="42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procedury podstawowej administracji i eksploatacji.</w:t>
      </w:r>
    </w:p>
    <w:p w:rsidR="000369DB" w:rsidRPr="0050012C" w:rsidRDefault="00853DE7" w:rsidP="000369DB">
      <w:pPr>
        <w:pStyle w:val="Akapitzlist"/>
        <w:numPr>
          <w:ilvl w:val="0"/>
          <w:numId w:val="42"/>
        </w:numPr>
        <w:spacing w:before="0" w:after="0"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Dokumentacja musi zostać przekazana w formie elektronicznej w języku polskim.</w:t>
      </w:r>
    </w:p>
    <w:p w:rsidR="00853DE7" w:rsidRPr="0050012C" w:rsidRDefault="00853DE7" w:rsidP="000369DB">
      <w:pPr>
        <w:pStyle w:val="numeracja2"/>
      </w:pPr>
      <w:r w:rsidRPr="0050012C">
        <w:t>Zakup usług szkolenia administratora IT</w:t>
      </w:r>
    </w:p>
    <w:p w:rsidR="00853DE7" w:rsidRPr="0050012C" w:rsidRDefault="00853DE7" w:rsidP="00853DE7">
      <w:pPr>
        <w:numPr>
          <w:ilvl w:val="0"/>
          <w:numId w:val="28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 xml:space="preserve">Zamówienie </w:t>
      </w:r>
      <w:bookmarkStart w:id="3" w:name="_Hlk187833274"/>
      <w:r w:rsidRPr="0050012C">
        <w:rPr>
          <w:rFonts w:ascii="Verdana" w:hAnsi="Verdana"/>
          <w:sz w:val="20"/>
          <w:szCs w:val="20"/>
        </w:rPr>
        <w:t>obejmuje przeprowadzenie szkolenia specjalistycznego dla administratora IT Zamawiającego (1 osoba) w zakresie wdrażanych funkcjonalności zabezpieczeń,</w:t>
      </w:r>
      <w:bookmarkEnd w:id="3"/>
      <w:r w:rsidRPr="0050012C">
        <w:rPr>
          <w:rFonts w:ascii="Verdana" w:hAnsi="Verdana"/>
          <w:sz w:val="20"/>
          <w:szCs w:val="20"/>
        </w:rPr>
        <w:t xml:space="preserve"> tj.:</w:t>
      </w:r>
      <w:r w:rsidR="000369DB" w:rsidRPr="0050012C">
        <w:rPr>
          <w:rFonts w:ascii="Verdana" w:hAnsi="Verdana"/>
          <w:sz w:val="20"/>
          <w:szCs w:val="20"/>
        </w:rPr>
        <w:t xml:space="preserve"> </w:t>
      </w:r>
      <w:r w:rsidRPr="0050012C">
        <w:rPr>
          <w:rFonts w:ascii="Verdana" w:hAnsi="Verdana"/>
          <w:sz w:val="20"/>
          <w:szCs w:val="20"/>
        </w:rPr>
        <w:t>bezpieczeństwa sieci komputerowej w oparciu o urządzenia UTM.</w:t>
      </w:r>
    </w:p>
    <w:p w:rsidR="00853DE7" w:rsidRPr="0050012C" w:rsidRDefault="00853DE7" w:rsidP="00853DE7">
      <w:pPr>
        <w:numPr>
          <w:ilvl w:val="0"/>
          <w:numId w:val="28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Szkolenie musi dotyczyć rozwiązań oferowanych przez Wykonawcę, tj.</w:t>
      </w:r>
      <w:r w:rsidR="000369DB" w:rsidRPr="0050012C">
        <w:rPr>
          <w:rFonts w:ascii="Verdana" w:hAnsi="Verdana"/>
          <w:sz w:val="20"/>
          <w:szCs w:val="20"/>
        </w:rPr>
        <w:t xml:space="preserve"> </w:t>
      </w:r>
      <w:r w:rsidRPr="0050012C">
        <w:rPr>
          <w:rFonts w:ascii="Verdana" w:hAnsi="Verdana"/>
          <w:sz w:val="20"/>
          <w:szCs w:val="20"/>
        </w:rPr>
        <w:t xml:space="preserve">oferowanych urządzeń UTM i musi być autoryzowane przez ich producenta. </w:t>
      </w:r>
    </w:p>
    <w:p w:rsidR="00853DE7" w:rsidRPr="0050012C" w:rsidRDefault="00853DE7" w:rsidP="00853DE7">
      <w:pPr>
        <w:numPr>
          <w:ilvl w:val="0"/>
          <w:numId w:val="28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Szkolenia muszą być prowadzone w formie wykładu z ćwiczeniami praktycznymi w środowisku testowym.</w:t>
      </w:r>
    </w:p>
    <w:p w:rsidR="00853DE7" w:rsidRPr="0050012C" w:rsidRDefault="00853DE7" w:rsidP="00853DE7">
      <w:pPr>
        <w:numPr>
          <w:ilvl w:val="0"/>
          <w:numId w:val="28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Wymagany czas szkolenia – co najmniej 21 godzin w podziale na maksymalnie 3 dni szkolenia.</w:t>
      </w:r>
    </w:p>
    <w:p w:rsidR="00853DE7" w:rsidRPr="0050012C" w:rsidRDefault="00853DE7" w:rsidP="00853DE7">
      <w:pPr>
        <w:numPr>
          <w:ilvl w:val="0"/>
          <w:numId w:val="28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Szkolenie musi być realizowane w trybie on-</w:t>
      </w:r>
      <w:proofErr w:type="spellStart"/>
      <w:r w:rsidRPr="0050012C">
        <w:rPr>
          <w:rFonts w:ascii="Verdana" w:hAnsi="Verdana"/>
          <w:sz w:val="20"/>
          <w:szCs w:val="20"/>
        </w:rPr>
        <w:t>line</w:t>
      </w:r>
      <w:proofErr w:type="spellEnd"/>
      <w:r w:rsidRPr="0050012C">
        <w:rPr>
          <w:rFonts w:ascii="Verdana" w:hAnsi="Verdana"/>
          <w:sz w:val="20"/>
          <w:szCs w:val="20"/>
        </w:rPr>
        <w:t>.</w:t>
      </w:r>
    </w:p>
    <w:p w:rsidR="00853DE7" w:rsidRPr="0050012C" w:rsidRDefault="00853DE7" w:rsidP="00853DE7">
      <w:pPr>
        <w:numPr>
          <w:ilvl w:val="0"/>
          <w:numId w:val="28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lastRenderedPageBreak/>
        <w:t xml:space="preserve">Po zakończeniu szkoleń Wykonawca przekaże uczestnikowi certyfikat ukończenia szkolenia. Certyfikat musi zawierać co najmniej: imię i nazwisko uczestnika, informację o ilości godzin i zrealizowanym zakresie tematycznym. </w:t>
      </w:r>
    </w:p>
    <w:p w:rsidR="00853DE7" w:rsidRPr="0050012C" w:rsidRDefault="00853DE7" w:rsidP="00853DE7">
      <w:pPr>
        <w:numPr>
          <w:ilvl w:val="0"/>
          <w:numId w:val="28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W trakcie lub po zakończeniu szkoleń Wykonawca udostępni Zamawiającemu materiały wykorzystywane przez prowadzącego w trakcie szkolenia w formie elektronicznej do pobrania.</w:t>
      </w:r>
    </w:p>
    <w:p w:rsidR="00853DE7" w:rsidRPr="0050012C" w:rsidRDefault="00853DE7" w:rsidP="00853DE7">
      <w:pPr>
        <w:numPr>
          <w:ilvl w:val="0"/>
          <w:numId w:val="28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Wykonawca uwzględni w programie szkoleń minimalny zakres zagadnień wskazany poniżej w sekcji „Ramowy program szkoleń”.</w:t>
      </w:r>
    </w:p>
    <w:p w:rsidR="00853DE7" w:rsidRPr="0050012C" w:rsidRDefault="00853DE7" w:rsidP="00853DE7">
      <w:pPr>
        <w:spacing w:before="0" w:after="0"/>
        <w:contextualSpacing/>
        <w:jc w:val="both"/>
        <w:rPr>
          <w:rFonts w:ascii="Verdana" w:hAnsi="Verdana"/>
          <w:i/>
          <w:iCs/>
          <w:sz w:val="20"/>
          <w:szCs w:val="20"/>
        </w:rPr>
      </w:pPr>
      <w:r w:rsidRPr="0050012C">
        <w:rPr>
          <w:rFonts w:ascii="Verdana" w:hAnsi="Verdana"/>
          <w:i/>
          <w:iCs/>
          <w:sz w:val="20"/>
          <w:szCs w:val="20"/>
        </w:rPr>
        <w:t>Ramowy program szkoleń</w:t>
      </w:r>
    </w:p>
    <w:p w:rsidR="00853DE7" w:rsidRPr="0050012C" w:rsidRDefault="00853DE7" w:rsidP="00853DE7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Wprowadzenie do architektury bezpieczeństwa sieci, obejmujące omówienie podstawowych koncepcji projektowania i funkcjonowania rozwiązań zabezpieczających infrastrukturę teleinformatyczną w środowisku organizacyjnym.</w:t>
      </w:r>
    </w:p>
    <w:p w:rsidR="00853DE7" w:rsidRPr="0050012C" w:rsidRDefault="00853DE7" w:rsidP="00853DE7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Zarządzanie centralne infrastrukturą bezpieczeństwa, w tym mechanizmy centralnego nadzoru, konfiguracji, monitorowania zdarzeń oraz utrzymania spójnych polityk bezpieczeństwa dla wielu urządzeń sieciowych.</w:t>
      </w:r>
    </w:p>
    <w:p w:rsidR="00853DE7" w:rsidRPr="0050012C" w:rsidRDefault="00853DE7" w:rsidP="00853DE7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Segmentacja sieci z wykorzystaniem logicznych mechanizmów separacji ruchu, takich jak wirtualne sieci oraz wirtualne instancje urządzeń zabezpieczających, umożliwiające wydzielanie niezależnych domen bezpieczeństwa.</w:t>
      </w:r>
    </w:p>
    <w:p w:rsidR="00853DE7" w:rsidRPr="0050012C" w:rsidRDefault="00853DE7" w:rsidP="00853DE7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Wysoka dostępność systemów bezpieczeństwa, obejmująca projektowanie, konfigurację i utrzymanie rozwiązań redundancji oraz klastrów zapewniających ciągłość działania usług sieciowych.</w:t>
      </w:r>
    </w:p>
    <w:p w:rsidR="00853DE7" w:rsidRPr="0050012C" w:rsidRDefault="00853DE7" w:rsidP="00853DE7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Wykorzystanie dynamicznych protokołów routingu w infrastrukturze bezpieczeństwa, w tym zasady konfiguracji i zastosowania protokołów routingu wewnętrznego i zewnętrznego w środowiskach korporacyjnych.</w:t>
      </w:r>
    </w:p>
    <w:p w:rsidR="00853DE7" w:rsidRPr="0050012C" w:rsidRDefault="00853DE7" w:rsidP="00853DE7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Tworzenie i zarządzanie profilami bezpieczeństwa, obejmujące definiowanie polityk ochrony, mechanizmów filtrowania ruchu oraz kontroli dostępu w urządzeniach zabezpieczających.</w:t>
      </w:r>
    </w:p>
    <w:p w:rsidR="00853DE7" w:rsidRPr="0050012C" w:rsidRDefault="00853DE7" w:rsidP="00853DE7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 xml:space="preserve">Konfiguracja i utrzymanie bezpiecznych tuneli komunikacyjnych typu </w:t>
      </w:r>
      <w:proofErr w:type="spellStart"/>
      <w:r w:rsidRPr="0050012C">
        <w:rPr>
          <w:rFonts w:ascii="Verdana" w:hAnsi="Verdana"/>
          <w:sz w:val="20"/>
          <w:szCs w:val="20"/>
        </w:rPr>
        <w:t>site</w:t>
      </w:r>
      <w:proofErr w:type="spellEnd"/>
      <w:r w:rsidRPr="0050012C">
        <w:rPr>
          <w:rFonts w:ascii="Verdana" w:hAnsi="Verdana"/>
          <w:sz w:val="20"/>
          <w:szCs w:val="20"/>
        </w:rPr>
        <w:t>-to-</w:t>
      </w:r>
      <w:proofErr w:type="spellStart"/>
      <w:r w:rsidRPr="0050012C">
        <w:rPr>
          <w:rFonts w:ascii="Verdana" w:hAnsi="Verdana"/>
          <w:sz w:val="20"/>
          <w:szCs w:val="20"/>
        </w:rPr>
        <w:t>site</w:t>
      </w:r>
      <w:proofErr w:type="spellEnd"/>
      <w:r w:rsidRPr="0050012C">
        <w:rPr>
          <w:rFonts w:ascii="Verdana" w:hAnsi="Verdana"/>
          <w:sz w:val="20"/>
          <w:szCs w:val="20"/>
        </w:rPr>
        <w:t xml:space="preserve"> opartych o mechanizmy kryptograficzne, przeznaczonych do łączenia rozproszonych lokalizacji organizacji.</w:t>
      </w:r>
    </w:p>
    <w:p w:rsidR="00853DE7" w:rsidRPr="0050012C" w:rsidRDefault="00853DE7" w:rsidP="00853DE7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Automatyzacja zestawiania połączeń szyfrowanych pomiędzy lokalizacjami, w tym mechanizmy umożliwiające dynamiczne i automatyczne tworzenie tuneli komunikacyjnych na żądanie.</w:t>
      </w:r>
    </w:p>
    <w:p w:rsidR="00853DE7" w:rsidRPr="0050012C" w:rsidRDefault="00853DE7" w:rsidP="00853DE7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t>Integracja elementów infrastruktury bezpieczeństwa w ramach spójnej architektury, obejmującej centralne zarządzanie, analizę zdarzeń oraz współpracę wielu komponentów systemu zabezpieczeń.</w:t>
      </w:r>
    </w:p>
    <w:p w:rsidR="00853DE7" w:rsidRPr="0050012C" w:rsidRDefault="00853DE7" w:rsidP="00853DE7">
      <w:pPr>
        <w:numPr>
          <w:ilvl w:val="0"/>
          <w:numId w:val="29"/>
        </w:numPr>
        <w:spacing w:before="0" w:after="0"/>
        <w:contextualSpacing/>
        <w:jc w:val="both"/>
        <w:rPr>
          <w:rFonts w:ascii="Verdana" w:hAnsi="Verdana"/>
          <w:sz w:val="20"/>
          <w:szCs w:val="20"/>
        </w:rPr>
      </w:pPr>
      <w:r w:rsidRPr="0050012C">
        <w:rPr>
          <w:rFonts w:ascii="Verdana" w:hAnsi="Verdana"/>
          <w:sz w:val="20"/>
          <w:szCs w:val="20"/>
        </w:rPr>
        <w:lastRenderedPageBreak/>
        <w:t>Optymalizacja wydajności urządzeń brzegowych i systemów bezpieczeństwa poprzez wykorzystanie mechanizmów przyspieszenia sprzętowego oraz efektywne zarządzanie zasobami obliczeniowymi.</w:t>
      </w:r>
    </w:p>
    <w:p w:rsidR="00A834F4" w:rsidRPr="00853DE7" w:rsidRDefault="00A834F4" w:rsidP="00853DE7">
      <w:pPr>
        <w:spacing w:before="0" w:after="0"/>
        <w:jc w:val="both"/>
        <w:rPr>
          <w:rFonts w:ascii="Verdana" w:hAnsi="Verdana"/>
          <w:sz w:val="20"/>
          <w:szCs w:val="20"/>
          <w:lang w:eastAsia="pl-PL"/>
        </w:rPr>
      </w:pPr>
    </w:p>
    <w:sectPr w:rsidR="00A834F4" w:rsidRPr="00853DE7" w:rsidSect="00A3404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49C" w:rsidRDefault="001F149C">
      <w:r>
        <w:separator/>
      </w:r>
    </w:p>
  </w:endnote>
  <w:endnote w:type="continuationSeparator" w:id="0">
    <w:p w:rsidR="001F149C" w:rsidRDefault="001F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9C" w:rsidRDefault="001F149C" w:rsidP="001F149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1F149C" w:rsidRDefault="001F149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9C" w:rsidRPr="00C24F21" w:rsidRDefault="001F149C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ve="http://schemas.openxmlformats.org/markup-compatibility/2006"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ve="http://schemas.openxmlformats.org/markup-compatibility/2006"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C03EE">
      <w:rPr>
        <w:rFonts w:asciiTheme="minorHAnsi" w:hAnsiTheme="minorHAnsi" w:cstheme="minorHAnsi"/>
        <w:noProof/>
        <w:sz w:val="10"/>
        <w:szCs w:val="1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8240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9C" w:rsidRPr="00A25198" w:rsidRDefault="001F149C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ve="http://schemas.openxmlformats.org/markup-compatibility/2006"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ve="http://schemas.openxmlformats.org/markup-compatibility/2006"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BC03EE">
      <w:rPr>
        <w:rFonts w:asciiTheme="minorHAnsi" w:hAnsiTheme="minorHAnsi" w:cstheme="minorHAnsi"/>
        <w:noProof/>
        <w:sz w:val="10"/>
        <w:szCs w:val="1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216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49C" w:rsidRDefault="001F149C">
      <w:r>
        <w:separator/>
      </w:r>
    </w:p>
  </w:footnote>
  <w:footnote w:type="continuationSeparator" w:id="0">
    <w:p w:rsidR="001F149C" w:rsidRDefault="001F14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9C" w:rsidRDefault="001F149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6005832"/>
      <w:docPartObj>
        <w:docPartGallery w:val="Page Numbers (Top of Page)"/>
        <w:docPartUnique/>
      </w:docPartObj>
    </w:sdtPr>
    <w:sdtEndPr/>
    <w:sdtContent>
      <w:p w:rsidR="001F149C" w:rsidRDefault="001F149C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ve="http://schemas.openxmlformats.org/markup-compatibility/2006"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ve="http://schemas.openxmlformats.org/markup-compatibility/2006"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ve="http://schemas.openxmlformats.org/markup-compatibility/2006"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9C" w:rsidRDefault="001F149C" w:rsidP="001F149C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0D7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>
    <w:nsid w:val="081D61E2"/>
    <w:multiLevelType w:val="hybridMultilevel"/>
    <w:tmpl w:val="BF1E56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294CB3"/>
    <w:multiLevelType w:val="hybridMultilevel"/>
    <w:tmpl w:val="5E520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0A1A2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>
    <w:nsid w:val="0F597F2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>
    <w:nsid w:val="12CB168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>
    <w:nsid w:val="12FA256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>
    <w:nsid w:val="13D620E3"/>
    <w:multiLevelType w:val="hybridMultilevel"/>
    <w:tmpl w:val="BA40A20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E97C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>
    <w:nsid w:val="19661F6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1A596D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>
    <w:nsid w:val="1D933ED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>
    <w:nsid w:val="1E9456E9"/>
    <w:multiLevelType w:val="hybridMultilevel"/>
    <w:tmpl w:val="16564BC4"/>
    <w:lvl w:ilvl="0" w:tplc="2D0A5A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CE56F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>
    <w:nsid w:val="228034C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26F374AB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2732544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7">
    <w:nsid w:val="276B7839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18">
    <w:nsid w:val="2E2D1E33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31D60FD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0">
    <w:nsid w:val="33132F79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33434654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2">
    <w:nsid w:val="355F4A4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39CE418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">
    <w:nsid w:val="3DCC7220"/>
    <w:multiLevelType w:val="multilevel"/>
    <w:tmpl w:val="128CF83E"/>
    <w:lvl w:ilvl="0">
      <w:start w:val="1"/>
      <w:numFmt w:val="decimal"/>
      <w:pStyle w:val="numeracja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3DFD6353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6">
    <w:nsid w:val="3E3C340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7">
    <w:nsid w:val="445376D6"/>
    <w:multiLevelType w:val="hybridMultilevel"/>
    <w:tmpl w:val="EE828E16"/>
    <w:lvl w:ilvl="0" w:tplc="01848E76">
      <w:start w:val="8"/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71874"/>
    <w:multiLevelType w:val="hybridMultilevel"/>
    <w:tmpl w:val="F004623C"/>
    <w:lvl w:ilvl="0" w:tplc="04150013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8C876A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">
    <w:nsid w:val="49CC5DE9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49E801E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">
    <w:nsid w:val="4AAE2EF0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3">
    <w:nsid w:val="4CA52B5C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4">
    <w:nsid w:val="52EE4418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5332615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6">
    <w:nsid w:val="5EA4158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">
    <w:nsid w:val="613D20E9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8">
    <w:nsid w:val="64FA28ED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6661614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0">
    <w:nsid w:val="6849117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">
    <w:nsid w:val="6B3813E1"/>
    <w:multiLevelType w:val="hybridMultilevel"/>
    <w:tmpl w:val="B928C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F67359"/>
    <w:multiLevelType w:val="hybridMultilevel"/>
    <w:tmpl w:val="021A1D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0C326CD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4">
    <w:nsid w:val="728D64C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5">
    <w:nsid w:val="74926068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6">
    <w:nsid w:val="7C6912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40"/>
  </w:num>
  <w:num w:numId="2">
    <w:abstractNumId w:val="38"/>
  </w:num>
  <w:num w:numId="3">
    <w:abstractNumId w:val="9"/>
  </w:num>
  <w:num w:numId="4">
    <w:abstractNumId w:val="6"/>
  </w:num>
  <w:num w:numId="5">
    <w:abstractNumId w:val="4"/>
  </w:num>
  <w:num w:numId="6">
    <w:abstractNumId w:val="8"/>
  </w:num>
  <w:num w:numId="7">
    <w:abstractNumId w:val="39"/>
  </w:num>
  <w:num w:numId="8">
    <w:abstractNumId w:val="13"/>
  </w:num>
  <w:num w:numId="9">
    <w:abstractNumId w:val="36"/>
  </w:num>
  <w:num w:numId="10">
    <w:abstractNumId w:val="10"/>
  </w:num>
  <w:num w:numId="11">
    <w:abstractNumId w:val="46"/>
  </w:num>
  <w:num w:numId="12">
    <w:abstractNumId w:val="3"/>
  </w:num>
  <w:num w:numId="13">
    <w:abstractNumId w:val="23"/>
  </w:num>
  <w:num w:numId="14">
    <w:abstractNumId w:val="29"/>
  </w:num>
  <w:num w:numId="15">
    <w:abstractNumId w:val="31"/>
  </w:num>
  <w:num w:numId="16">
    <w:abstractNumId w:val="30"/>
  </w:num>
  <w:num w:numId="17">
    <w:abstractNumId w:val="18"/>
  </w:num>
  <w:num w:numId="18">
    <w:abstractNumId w:val="15"/>
  </w:num>
  <w:num w:numId="19">
    <w:abstractNumId w:val="11"/>
  </w:num>
  <w:num w:numId="20">
    <w:abstractNumId w:val="19"/>
  </w:num>
  <w:num w:numId="21">
    <w:abstractNumId w:val="16"/>
  </w:num>
  <w:num w:numId="22">
    <w:abstractNumId w:val="26"/>
  </w:num>
  <w:num w:numId="23">
    <w:abstractNumId w:val="35"/>
  </w:num>
  <w:num w:numId="24">
    <w:abstractNumId w:val="5"/>
  </w:num>
  <w:num w:numId="25">
    <w:abstractNumId w:val="44"/>
  </w:num>
  <w:num w:numId="26">
    <w:abstractNumId w:val="0"/>
  </w:num>
  <w:num w:numId="27">
    <w:abstractNumId w:val="20"/>
  </w:num>
  <w:num w:numId="28">
    <w:abstractNumId w:val="2"/>
  </w:num>
  <w:num w:numId="29">
    <w:abstractNumId w:val="17"/>
  </w:num>
  <w:num w:numId="30">
    <w:abstractNumId w:val="42"/>
  </w:num>
  <w:num w:numId="31">
    <w:abstractNumId w:val="34"/>
  </w:num>
  <w:num w:numId="32">
    <w:abstractNumId w:val="22"/>
  </w:num>
  <w:num w:numId="33">
    <w:abstractNumId w:val="27"/>
  </w:num>
  <w:num w:numId="34">
    <w:abstractNumId w:val="41"/>
  </w:num>
  <w:num w:numId="35">
    <w:abstractNumId w:val="1"/>
  </w:num>
  <w:num w:numId="36">
    <w:abstractNumId w:val="25"/>
  </w:num>
  <w:num w:numId="37">
    <w:abstractNumId w:val="33"/>
  </w:num>
  <w:num w:numId="38">
    <w:abstractNumId w:val="21"/>
  </w:num>
  <w:num w:numId="39">
    <w:abstractNumId w:val="45"/>
  </w:num>
  <w:num w:numId="40">
    <w:abstractNumId w:val="43"/>
  </w:num>
  <w:num w:numId="41">
    <w:abstractNumId w:val="37"/>
  </w:num>
  <w:num w:numId="42">
    <w:abstractNumId w:val="32"/>
  </w:num>
  <w:num w:numId="43">
    <w:abstractNumId w:val="28"/>
  </w:num>
  <w:num w:numId="44">
    <w:abstractNumId w:val="7"/>
  </w:num>
  <w:num w:numId="45">
    <w:abstractNumId w:val="14"/>
  </w:num>
  <w:num w:numId="46">
    <w:abstractNumId w:val="12"/>
  </w:num>
  <w:num w:numId="47">
    <w:abstractNumId w:val="2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22E2"/>
    <w:rsid w:val="00010FC6"/>
    <w:rsid w:val="000369DB"/>
    <w:rsid w:val="0004603C"/>
    <w:rsid w:val="00065C40"/>
    <w:rsid w:val="00094EF6"/>
    <w:rsid w:val="000E21EF"/>
    <w:rsid w:val="0010162A"/>
    <w:rsid w:val="001561C5"/>
    <w:rsid w:val="001F149C"/>
    <w:rsid w:val="00214307"/>
    <w:rsid w:val="002571F6"/>
    <w:rsid w:val="002B08FC"/>
    <w:rsid w:val="002D66BB"/>
    <w:rsid w:val="002E6BDD"/>
    <w:rsid w:val="002F66E8"/>
    <w:rsid w:val="00310274"/>
    <w:rsid w:val="003134FE"/>
    <w:rsid w:val="003816DA"/>
    <w:rsid w:val="00385FFB"/>
    <w:rsid w:val="00412555"/>
    <w:rsid w:val="00482EA3"/>
    <w:rsid w:val="004844AD"/>
    <w:rsid w:val="004E62F6"/>
    <w:rsid w:val="0050012C"/>
    <w:rsid w:val="005115C2"/>
    <w:rsid w:val="005A056A"/>
    <w:rsid w:val="005B7917"/>
    <w:rsid w:val="005E22E2"/>
    <w:rsid w:val="006760F1"/>
    <w:rsid w:val="006D19B4"/>
    <w:rsid w:val="006E040C"/>
    <w:rsid w:val="006E7BF6"/>
    <w:rsid w:val="007021C9"/>
    <w:rsid w:val="007077F2"/>
    <w:rsid w:val="00735813"/>
    <w:rsid w:val="00760990"/>
    <w:rsid w:val="00761B48"/>
    <w:rsid w:val="00780D75"/>
    <w:rsid w:val="00853DE7"/>
    <w:rsid w:val="00863D3F"/>
    <w:rsid w:val="0088784C"/>
    <w:rsid w:val="008C4DE6"/>
    <w:rsid w:val="009A5797"/>
    <w:rsid w:val="009B7B29"/>
    <w:rsid w:val="00A25198"/>
    <w:rsid w:val="00A34049"/>
    <w:rsid w:val="00A42564"/>
    <w:rsid w:val="00A834F4"/>
    <w:rsid w:val="00A8394D"/>
    <w:rsid w:val="00A97B93"/>
    <w:rsid w:val="00AD1146"/>
    <w:rsid w:val="00AD274B"/>
    <w:rsid w:val="00AF3CB9"/>
    <w:rsid w:val="00AF4EB4"/>
    <w:rsid w:val="00B371AE"/>
    <w:rsid w:val="00B546E9"/>
    <w:rsid w:val="00B619ED"/>
    <w:rsid w:val="00B82EF6"/>
    <w:rsid w:val="00BC03EE"/>
    <w:rsid w:val="00BC79CC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C0C56"/>
    <w:rsid w:val="00E1663C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uiPriority="99"/>
    <w:lsdException w:name="Strong" w:semiHidden="0" w:uiPriority="22" w:unhideWhenUsed="0"/>
    <w:lsdException w:name="Emphasis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Numerowanie,Akapit z listą BS,List Paragraph,L1,sw tekst,Akapit z listą5,normalny tekst,Kolorowa lista — akcent 11,Średnia siatka 1 — akcent 21,CW_Lista,Colorful List - Accent 11,Akapit z listą4,A_wyliczenie,K-P_odwolanie,maz_wyliczenie,l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styleId="Wyrnienieintensywne">
    <w:name w:val="Intense Emphasis"/>
    <w:basedOn w:val="Domylnaczcionkaakapitu"/>
    <w:uiPriority w:val="21"/>
    <w:qFormat/>
    <w:rsid w:val="00853DE7"/>
    <w:rPr>
      <w:i/>
      <w:iCs/>
      <w:color w:val="2E74B5" w:themeColor="accent1" w:themeShade="BF"/>
    </w:r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Średnia siatka 1 — akcent 21 Znak,CW_Lista Znak,Colorful List - Accent 11 Znak"/>
    <w:link w:val="Akapitzlist"/>
    <w:uiPriority w:val="34"/>
    <w:qFormat/>
    <w:locked/>
    <w:rsid w:val="00853DE7"/>
  </w:style>
  <w:style w:type="paragraph" w:styleId="Bezodstpw">
    <w:name w:val="No Spacing"/>
    <w:link w:val="BezodstpwZnak"/>
    <w:uiPriority w:val="1"/>
    <w:qFormat/>
    <w:rsid w:val="00853DE7"/>
    <w:pPr>
      <w:suppressAutoHyphens/>
      <w:spacing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character" w:customStyle="1" w:styleId="BezodstpwZnak">
    <w:name w:val="Bez odstępów Znak"/>
    <w:link w:val="Bezodstpw"/>
    <w:uiPriority w:val="1"/>
    <w:rsid w:val="00853DE7"/>
    <w:rPr>
      <w:rFonts w:ascii="Tahoma" w:eastAsia="Calibri" w:hAnsi="Tahoma" w:cs="Tahoma"/>
      <w:sz w:val="20"/>
      <w:szCs w:val="20"/>
      <w:lang w:eastAsia="ar-SA"/>
    </w:rPr>
  </w:style>
  <w:style w:type="paragraph" w:customStyle="1" w:styleId="Styl1">
    <w:name w:val="Styl1"/>
    <w:basedOn w:val="Bezodstpw"/>
    <w:link w:val="Styl1Znak"/>
    <w:qFormat/>
    <w:rsid w:val="00853DE7"/>
    <w:pPr>
      <w:pBdr>
        <w:bottom w:val="single" w:sz="12" w:space="1" w:color="auto"/>
      </w:pBdr>
      <w:shd w:val="pct10" w:color="auto" w:fill="auto"/>
      <w:spacing w:before="120" w:after="120" w:line="240" w:lineRule="auto"/>
      <w:ind w:left="0"/>
      <w:jc w:val="center"/>
    </w:pPr>
    <w:rPr>
      <w:rFonts w:ascii="Times New Roman" w:hAnsi="Times New Roman"/>
      <w:b/>
      <w:smallCaps/>
      <w:sz w:val="36"/>
      <w:szCs w:val="36"/>
    </w:rPr>
  </w:style>
  <w:style w:type="character" w:customStyle="1" w:styleId="Styl1Znak">
    <w:name w:val="Styl1 Znak"/>
    <w:link w:val="Styl1"/>
    <w:rsid w:val="00853DE7"/>
    <w:rPr>
      <w:rFonts w:ascii="Times New Roman" w:eastAsia="Calibri" w:hAnsi="Times New Roman" w:cs="Tahoma"/>
      <w:b/>
      <w:smallCaps/>
      <w:sz w:val="36"/>
      <w:szCs w:val="36"/>
      <w:shd w:val="pct10" w:color="auto" w:fill="auto"/>
      <w:lang w:eastAsia="ar-SA"/>
    </w:rPr>
  </w:style>
  <w:style w:type="paragraph" w:customStyle="1" w:styleId="Numeracja">
    <w:name w:val="Numeracja"/>
    <w:basedOn w:val="Normalny"/>
    <w:link w:val="NumeracjaZnak"/>
    <w:qFormat/>
    <w:rsid w:val="001F149C"/>
    <w:pPr>
      <w:spacing w:before="0" w:after="0"/>
      <w:jc w:val="both"/>
    </w:pPr>
    <w:rPr>
      <w:rFonts w:ascii="Verdana" w:eastAsia="SimSun" w:hAnsi="Verdana" w:cs="Mangal"/>
      <w:b/>
      <w:kern w:val="1"/>
      <w:sz w:val="22"/>
      <w:szCs w:val="22"/>
      <w:lang w:eastAsia="hi-IN" w:bidi="hi-IN"/>
    </w:rPr>
  </w:style>
  <w:style w:type="character" w:customStyle="1" w:styleId="NumeracjaZnak">
    <w:name w:val="Numeracja Znak"/>
    <w:link w:val="Numeracja"/>
    <w:rsid w:val="001F149C"/>
    <w:rPr>
      <w:rFonts w:ascii="Verdana" w:eastAsia="SimSun" w:hAnsi="Verdana" w:cs="Mangal"/>
      <w:b/>
      <w:kern w:val="1"/>
      <w:sz w:val="22"/>
      <w:szCs w:val="22"/>
      <w:lang w:eastAsia="hi-IN" w:bidi="hi-IN"/>
    </w:rPr>
  </w:style>
  <w:style w:type="paragraph" w:customStyle="1" w:styleId="numeracja2">
    <w:name w:val="numeracja 2"/>
    <w:basedOn w:val="Numeracja"/>
    <w:link w:val="numeracja2Znak"/>
    <w:qFormat/>
    <w:rsid w:val="006E7BF6"/>
    <w:pPr>
      <w:numPr>
        <w:numId w:val="47"/>
      </w:numPr>
    </w:pPr>
  </w:style>
  <w:style w:type="character" w:customStyle="1" w:styleId="numeracja2Znak">
    <w:name w:val="numeracja 2 Znak"/>
    <w:basedOn w:val="NumeracjaZnak"/>
    <w:link w:val="numeracja2"/>
    <w:rsid w:val="006E7BF6"/>
    <w:rPr>
      <w:rFonts w:ascii="Verdana" w:eastAsia="SimSun" w:hAnsi="Verdana" w:cs="Mangal"/>
      <w:b/>
      <w:kern w:val="1"/>
      <w:sz w:val="22"/>
      <w:szCs w:val="22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spec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FF7CC9-9DB7-4E7A-BB13-47B62A1C4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24</Pages>
  <Words>6812</Words>
  <Characters>47952</Characters>
  <Application>Microsoft Office Word</Application>
  <DocSecurity>0</DocSecurity>
  <Lines>399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54655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Andrzej Rabczewski</cp:lastModifiedBy>
  <cp:revision>4</cp:revision>
  <cp:lastPrinted>2026-01-21T12:05:00Z</cp:lastPrinted>
  <dcterms:created xsi:type="dcterms:W3CDTF">2026-01-21T09:44:00Z</dcterms:created>
  <dcterms:modified xsi:type="dcterms:W3CDTF">2026-01-22T08:18:00Z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